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400"/>
      </w:pPr>
      <w:r>
        <w:rPr>
          <w:rFonts w:ascii="Cambria" w:cs="Cambria" w:eastAsia="Cambria" w:hAnsi="Cambria"/>
          <w:b/>
          <w:bCs/>
          <w:color w:val="1E2761"/>
          <w:sz w:val="52"/>
          <w:szCs w:val="52"/>
        </w:rPr>
        <w:t xml:space="preserve">Responsible AI for Credit Scoring</w:t>
      </w:r>
    </w:p>
    <w:p>
      <w:pPr>
        <w:spacing w:after="200" w:before="120"/>
      </w:pPr>
      <w:r>
        <w:rPr>
          <w:rFonts w:ascii="Calibri" w:cs="Calibri" w:eastAsia="Calibri" w:hAnsi="Calibri"/>
          <w:i/>
          <w:iCs/>
          <w:color w:val="2A78D6"/>
          <w:sz w:val="26"/>
          <w:szCs w:val="26"/>
        </w:rPr>
        <w:t xml:space="preserve">A Fairness-Audited, Explainable and Adversarially-Tested
Machine Learning System on the German Credit Dataset</w:t>
      </w:r>
    </w:p>
    <w:p>
      <w:pPr>
        <w:pBdr>
          <w:bottom w:val="single" w:color="1E2761" w:sz="8" w:space="8"/>
        </w:pBdr>
        <w:spacing w:after="260"/>
      </w:pPr>
      <w:r>
        <w:rPr>
          <w:rFonts w:ascii="Calibri" w:cs="Calibri" w:eastAsia="Calibri" w:hAnsi="Calibri"/>
          <w:color w:val="5A6472"/>
          <w:sz w:val="20"/>
          <w:szCs w:val="20"/>
        </w:rPr>
        <w:t xml:space="preserve">Final in-depth documentation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Course: 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Responsible AI &amp; Data Ethics (PEL), SS 2026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Track: 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The Ethical Credit System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Dataset: 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German Credit (UCI / Kaggle) — 1,000 applicants</w:t>
      </w:r>
    </w:p>
    <w:p>
      <w:pPr>
        <w:spacing w:after="40" w:before="220"/>
      </w:pPr>
      <w:r>
        <w:rPr>
          <w:rFonts w:ascii="Calibri" w:cs="Calibri" w:eastAsia="Calibri" w:hAnsi="Calibri"/>
          <w:b/>
          <w:bCs/>
          <w:color w:val="2A78D6"/>
          <w:spacing w:val="40"/>
          <w:sz w:val="18"/>
          <w:szCs w:val="18"/>
        </w:rPr>
        <w:t xml:space="preserve">TEAM MEMBERS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Devagiri Rahul Shrikant</w:t>
      </w:r>
    </w:p>
    <w:p>
      <w:pPr>
        <w:spacing w:after="20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Mehatab</w:t>
      </w:r>
    </w:p>
    <w:p>
      <w:r>
        <w:rPr>
          <w:rFonts w:ascii="Calibri" w:cs="Calibri" w:eastAsia="Calibri" w:hAnsi="Calibri"/>
          <w:color w:val="5A6472"/>
          <w:sz w:val="20"/>
          <w:szCs w:val="20"/>
        </w:rPr>
        <w:t xml:space="preserve">July 2026</w:t>
      </w:r>
    </w:p>
    <w:p>
      <w:r>
        <w:br w:type="page"/>
      </w:r>
    </w:p>
    <w:p>
      <w:pPr>
        <w:spacing w:after="120"/>
      </w:pPr>
      <w:r>
        <w:rPr>
          <w:rFonts w:ascii="Cambria" w:cs="Cambria" w:eastAsia="Cambria" w:hAnsi="Cambria"/>
          <w:b/>
          <w:bCs/>
          <w:color w:val="1E2761"/>
          <w:sz w:val="30"/>
          <w:szCs w:val="30"/>
        </w:rPr>
        <w:t xml:space="preserve">Contents</w:t>
      </w:r>
    </w:p>
    <w:p>
      <w:sdt>
        <w:sdtPr>
          <w:alias w:val="Contents"/>
        </w:sdtPr>
        <w:sdtContent>
          <w:p>
            <w:r>
              <w:fldChar w:fldCharType="begin" w:dirty="true"/>
              <w:instrText xml:space="preserve">TOC \h \o "1-1"</w:instrText>
              <w:fldChar w:fldCharType="separate"/>
            </w:r>
          </w:p>
          <w:p>
            <w:r>
              <w:fldChar w:fldCharType="end"/>
            </w:r>
          </w:p>
        </w:sdtContent>
      </w:sdt>
    </w:p>
    <w:p>
      <w:r>
        <w:br w:type="page"/>
      </w:r>
    </w:p>
    <w:p>
      <w:pPr>
        <w:pStyle w:val="Heading1"/>
        <w:spacing w:after="130" w:before="300"/>
      </w:pPr>
      <w:r>
        <w:t xml:space="preserve">1. Executive Summary</w:t>
      </w:r>
    </w:p>
    <w:p>
      <w:pPr>
        <w:spacing w:after="130" w:line="278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This project builds a credit-risk classification system on the German Credit dataset (1,000 applicants) and subjects it to a complete Responsible-AI evaluation: fairness auditing, bias mitigation, explainability, adversarial testing, and a regulatory analysis mapped to the EU AI Act and GDPR. A Random Forest (ROC-AUC 0.774 on the 9-feature subset, 0.790 on the full 20-feature dataset) is the audited model.</w:t>
      </w:r>
    </w:p>
    <w:p>
      <w:pPr>
        <w:spacing w:after="130" w:line="278"/>
      </w:pPr>
      <w:r>
        <w:rPr>
          <w:rFonts w:ascii="Calibri" w:cs="Calibri" w:eastAsia="Calibri" w:hAnsi="Calibri"/>
          <w:b/>
          <w:bCs/>
          <w:color w:val="1A1A2E"/>
          <w:sz w:val="21"/>
          <w:szCs w:val="21"/>
        </w:rPr>
        <w:t xml:space="preserve">Headline findings:</w:t>
      </w:r>
    </w:p>
    <w:p>
      <w:pPr>
        <w:pStyle w:val="ListParagraph"/>
        <w:numPr>
          <w:ilvl w:val="0"/>
          <w:numId w:val="2"/>
        </w:numPr>
        <w:spacing w:after="80" w:line="272"/>
      </w:pPr>
      <w:r>
        <w:rPr>
          <w:rFonts w:ascii="Calibri" w:cs="Calibri" w:eastAsia="Calibri" w:hAnsi="Calibri"/>
          <w:b/>
          <w:bCs/>
          <w:color w:val="1A1A2E"/>
          <w:sz w:val="21"/>
          <w:szCs w:val="21"/>
        </w:rPr>
        <w:t xml:space="preserve">Accuracy is the wrong metric. </w:t>
      </w:r>
      <w:r>
        <w:rPr>
          <w:rFonts w:ascii="Calibri" w:cs="Calibri" w:eastAsia="Calibri" w:hAnsi="Calibri"/>
          <w:color w:val="1A1A2E"/>
          <w:sz w:val="21"/>
          <w:szCs w:val="21"/>
        </w:rPr>
        <w:t xml:space="preserve">With a 70/30 class balance and a 5:1 cost asymmetry, the model is optimised for recall on bad credit. Removing cost-sensitive weighting raises accuracy to 0.74 but collapses recall to 0.30 — the 'most accurate' model is the worst lender.</w:t>
      </w:r>
    </w:p>
    <w:p>
      <w:pPr>
        <w:pStyle w:val="ListParagraph"/>
        <w:numPr>
          <w:ilvl w:val="0"/>
          <w:numId w:val="2"/>
        </w:numPr>
        <w:spacing w:after="80" w:line="272"/>
      </w:pPr>
      <w:r>
        <w:rPr>
          <w:rFonts w:ascii="Calibri" w:cs="Calibri" w:eastAsia="Calibri" w:hAnsi="Calibri"/>
          <w:b/>
          <w:bCs/>
          <w:color w:val="1A1A2E"/>
          <w:sz w:val="21"/>
          <w:szCs w:val="21"/>
        </w:rPr>
        <w:t xml:space="preserve">Two protected attributes fail the 80% fairness rule: </w:t>
      </w:r>
      <w:r>
        <w:rPr>
          <w:rFonts w:ascii="Calibri" w:cs="Calibri" w:eastAsia="Calibri" w:hAnsi="Calibri"/>
          <w:color w:val="1A1A2E"/>
          <w:sz w:val="21"/>
          <w:szCs w:val="21"/>
        </w:rPr>
        <w:t xml:space="preserve">age (disparate impact 0.56) and — visible only in the full dataset — foreign-worker status (0.73).</w:t>
      </w:r>
    </w:p>
    <w:p>
      <w:pPr>
        <w:pStyle w:val="ListParagraph"/>
        <w:numPr>
          <w:ilvl w:val="0"/>
          <w:numId w:val="2"/>
        </w:numPr>
        <w:spacing w:after="80" w:line="272"/>
      </w:pPr>
      <w:r>
        <w:rPr>
          <w:rFonts w:ascii="Calibri" w:cs="Calibri" w:eastAsia="Calibri" w:hAnsi="Calibri"/>
          <w:b/>
          <w:bCs/>
          <w:color w:val="1A1A2E"/>
          <w:sz w:val="21"/>
          <w:szCs w:val="21"/>
        </w:rPr>
        <w:t xml:space="preserve">Bias mitigation works for sex and age: </w:t>
      </w:r>
      <w:r>
        <w:rPr>
          <w:rFonts w:ascii="Calibri" w:cs="Calibri" w:eastAsia="Calibri" w:hAnsi="Calibri"/>
          <w:color w:val="1A1A2E"/>
          <w:sz w:val="21"/>
          <w:szCs w:val="21"/>
        </w:rPr>
        <w:t xml:space="preserve">group-specific thresholds repair sex (0.83 → 0.98) and age (0.56 → 0.86), halving the wrongful-denial rate for applicants under 26 (54.5% → 24.5%), at a modest recall cost.</w:t>
      </w:r>
    </w:p>
    <w:p>
      <w:pPr>
        <w:pStyle w:val="ListParagraph"/>
        <w:numPr>
          <w:ilvl w:val="0"/>
          <w:numId w:val="2"/>
        </w:numPr>
        <w:spacing w:after="80" w:line="272"/>
      </w:pPr>
      <w:r>
        <w:rPr>
          <w:rFonts w:ascii="Calibri" w:cs="Calibri" w:eastAsia="Calibri" w:hAnsi="Calibri"/>
          <w:b/>
          <w:bCs/>
          <w:color w:val="1A1A2E"/>
          <w:sz w:val="21"/>
          <w:szCs w:val="21"/>
        </w:rPr>
        <w:t xml:space="preserve">Fairness mitigation is not always free. </w:t>
      </w:r>
      <w:r>
        <w:rPr>
          <w:rFonts w:ascii="Calibri" w:cs="Calibri" w:eastAsia="Calibri" w:hAnsi="Calibri"/>
          <w:color w:val="1A1A2E"/>
          <w:sz w:val="21"/>
          <w:szCs w:val="21"/>
        </w:rPr>
        <w:t xml:space="preserve">The same technique on foreign-worker status improves the fairness metric (0.73 → 0.88) but collapses recall (0.70 → 0.50), because that group is 96% of applicants — documented as a policy decision, not an automatic fix.</w:t>
      </w:r>
    </w:p>
    <w:p>
      <w:pPr>
        <w:pStyle w:val="ListParagraph"/>
        <w:numPr>
          <w:ilvl w:val="0"/>
          <w:numId w:val="2"/>
        </w:numPr>
        <w:spacing w:after="80" w:line="272"/>
      </w:pPr>
      <w:r>
        <w:rPr>
          <w:rFonts w:ascii="Calibri" w:cs="Calibri" w:eastAsia="Calibri" w:hAnsi="Calibri"/>
          <w:b/>
          <w:bCs/>
          <w:color w:val="1A1A2E"/>
          <w:sz w:val="21"/>
          <w:szCs w:val="21"/>
        </w:rPr>
        <w:t xml:space="preserve">Explainable, tested and threat-modelled: </w:t>
      </w:r>
      <w:r>
        <w:rPr>
          <w:rFonts w:ascii="Calibri" w:cs="Calibri" w:eastAsia="Calibri" w:hAnsi="Calibri"/>
          <w:color w:val="1A1A2E"/>
          <w:sz w:val="21"/>
          <w:szCs w:val="21"/>
        </w:rPr>
        <w:t xml:space="preserve">SHAP global/local explanations, a 43-test suite at 98.9% coverage, and three adversarial studies (poisoning, evasion, membership inference).</w:t>
      </w:r>
    </w:p>
    <w:p>
      <w:pPr>
        <w:spacing w:after="130" w:line="278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The system is designed as </w:t>
      </w:r>
      <w:r>
        <w:rPr>
          <w:rFonts w:ascii="Calibri" w:cs="Calibri" w:eastAsia="Calibri" w:hAnsi="Calibri"/>
          <w:b/>
          <w:bCs/>
          <w:color w:val="1A1A2E"/>
          <w:sz w:val="21"/>
          <w:szCs w:val="21"/>
        </w:rPr>
        <w:t xml:space="preserve">human-in-the-loop decision support</w:t>
      </w:r>
      <w:r>
        <w:rPr>
          <w:rFonts w:ascii="Calibri" w:cs="Calibri" w:eastAsia="Calibri" w:hAnsi="Calibri"/>
          <w:color w:val="1A1A2E"/>
          <w:sz w:val="21"/>
          <w:szCs w:val="21"/>
        </w:rPr>
        <w:t xml:space="preserve">, consistent with the EU AI Act (credit scoring = high-risk) and GDPR Art. 22.</w:t>
      </w:r>
    </w:p>
    <w:p>
      <w:pPr>
        <w:pStyle w:val="Heading1"/>
        <w:spacing w:after="130" w:before="300"/>
      </w:pPr>
      <w:r>
        <w:t xml:space="preserve">2. Project Objectives &amp; Scope</w:t>
      </w:r>
    </w:p>
    <w:p>
      <w:pPr>
        <w:spacing w:after="130" w:line="278"/>
      </w:pPr>
      <w:r>
        <w:rPr>
          <w:rFonts w:ascii="Calibri" w:cs="Calibri" w:eastAsia="Calibri" w:hAnsi="Calibri"/>
          <w:b/>
          <w:bCs/>
          <w:color w:val="1A1A2E"/>
          <w:sz w:val="21"/>
          <w:szCs w:val="21"/>
        </w:rPr>
        <w:t xml:space="preserve">Objective: </w:t>
      </w:r>
      <w:r>
        <w:rPr>
          <w:rFonts w:ascii="Calibri" w:cs="Calibri" w:eastAsia="Calibri" w:hAnsi="Calibri"/>
          <w:color w:val="1A1A2E"/>
          <w:sz w:val="21"/>
          <w:szCs w:val="21"/>
        </w:rPr>
        <w:t xml:space="preserve">demonstrate that a credit-scoring model can be built to be compliant by construction — accurate on the metric that matters to a lender, and simultaneously auditable, explainable, fair, robust, and legally defensible.</w:t>
      </w:r>
    </w:p>
    <w:p>
      <w:pPr>
        <w:spacing w:after="130" w:line="278"/>
      </w:pPr>
      <w:r>
        <w:rPr>
          <w:rFonts w:ascii="Calibri" w:cs="Calibri" w:eastAsia="Calibri" w:hAnsi="Calibri"/>
          <w:b/>
          <w:bCs/>
          <w:color w:val="1A1A2E"/>
          <w:sz w:val="21"/>
          <w:szCs w:val="21"/>
        </w:rPr>
        <w:t xml:space="preserve">Scope: </w:t>
      </w:r>
      <w:r>
        <w:rPr>
          <w:rFonts w:ascii="Calibri" w:cs="Calibri" w:eastAsia="Calibri" w:hAnsi="Calibri"/>
          <w:color w:val="1A1A2E"/>
          <w:sz w:val="21"/>
          <w:szCs w:val="21"/>
        </w:rPr>
        <w:t xml:space="preserve">classical, interpretable machine learning on a small tabular dataset. The system is a decision-support prototype, not a production deployment; it informs a human loan officer rather than deciding autonomously.</w:t>
      </w:r>
    </w:p>
    <w:p>
      <w:pPr>
        <w:pStyle w:val="Heading1"/>
        <w:spacing w:after="130" w:before="300"/>
      </w:pPr>
      <w:r>
        <w:t xml:space="preserve">3. Data Analysis (Week 1)</w:t>
      </w:r>
    </w:p>
    <w:p>
      <w:pPr>
        <w:pStyle w:val="ListParagraph"/>
        <w:numPr>
          <w:ilvl w:val="0"/>
          <w:numId w:val="3"/>
        </w:numPr>
        <w:spacing w:after="70" w:line="272"/>
      </w:pPr>
      <w:r>
        <w:rPr>
          <w:rFonts w:ascii="Calibri" w:cs="Calibri" w:eastAsia="Calibri" w:hAnsi="Calibri"/>
          <w:b/>
          <w:bCs/>
          <w:color w:val="1A1A2E"/>
          <w:sz w:val="21"/>
          <w:szCs w:val="21"/>
        </w:rPr>
        <w:t xml:space="preserve">Dataset: </w:t>
      </w:r>
      <w:r>
        <w:rPr>
          <w:rFonts w:ascii="Calibri" w:cs="Calibri" w:eastAsia="Calibri" w:hAnsi="Calibri"/>
          <w:color w:val="1A1A2E"/>
          <w:sz w:val="21"/>
          <w:szCs w:val="21"/>
        </w:rPr>
        <w:t xml:space="preserve">1,000 applicants, binary target (70% good / 30% bad). Two versions: the 9-feature Kaggle subset (baseline) and the original 20-feature UCI file (extended analysis).</w:t>
      </w:r>
    </w:p>
    <w:p>
      <w:pPr>
        <w:pStyle w:val="ListParagraph"/>
        <w:numPr>
          <w:ilvl w:val="0"/>
          <w:numId w:val="3"/>
        </w:numPr>
        <w:spacing w:after="70" w:line="272"/>
      </w:pPr>
      <w:r>
        <w:rPr>
          <w:rFonts w:ascii="Calibri" w:cs="Calibri" w:eastAsia="Calibri" w:hAnsi="Calibri"/>
          <w:b/>
          <w:bCs/>
          <w:color w:val="1A1A2E"/>
          <w:sz w:val="21"/>
          <w:szCs w:val="21"/>
        </w:rPr>
        <w:t xml:space="preserve">Data quality — a key finding: </w:t>
      </w:r>
      <w:r>
        <w:rPr>
          <w:rFonts w:ascii="Calibri" w:cs="Calibri" w:eastAsia="Calibri" w:hAnsi="Calibri"/>
          <w:color w:val="1A1A2E"/>
          <w:sz w:val="21"/>
          <w:szCs w:val="21"/>
        </w:rPr>
        <w:t xml:space="preserve">the original UCI dataset has zero missing values; 'no account' is an explicit category (codes A14 checking, A65 savings). The Kaggle version re-encoded those as blanks (183 savings, 394 checking — matching the UCI counts exactly). Filling with a 'none' category reconstructs the original meaning rather than imputing.</w:t>
      </w:r>
    </w:p>
    <w:p>
      <w:pPr>
        <w:pStyle w:val="ListParagraph"/>
        <w:numPr>
          <w:ilvl w:val="0"/>
          <w:numId w:val="3"/>
        </w:numPr>
        <w:spacing w:after="70" w:line="272"/>
      </w:pPr>
      <w:r>
        <w:rPr>
          <w:rFonts w:ascii="Calibri" w:cs="Calibri" w:eastAsia="Calibri" w:hAnsi="Calibri"/>
          <w:b/>
          <w:bCs/>
          <w:color w:val="1A1A2E"/>
          <w:sz w:val="21"/>
          <w:szCs w:val="21"/>
        </w:rPr>
        <w:t xml:space="preserve">Distribution: </w:t>
      </w:r>
      <w:r>
        <w:rPr>
          <w:rFonts w:ascii="Calibri" w:cs="Calibri" w:eastAsia="Calibri" w:hAnsi="Calibri"/>
          <w:color w:val="1A1A2E"/>
          <w:sz w:val="21"/>
          <w:szCs w:val="21"/>
        </w:rPr>
        <w:t xml:space="preserve">Credit amount is right-skewed (skew 1.95); log-transformed rather than trimmed. Duration and Credit amount correlate (~0.6); both increase risk.</w:t>
      </w:r>
    </w:p>
    <w:p>
      <w:pPr>
        <w:pStyle w:val="ListParagraph"/>
        <w:numPr>
          <w:ilvl w:val="0"/>
          <w:numId w:val="3"/>
        </w:numPr>
        <w:spacing w:after="70" w:line="272"/>
      </w:pPr>
      <w:r>
        <w:rPr>
          <w:rFonts w:ascii="Calibri" w:cs="Calibri" w:eastAsia="Calibri" w:hAnsi="Calibri"/>
          <w:b/>
          <w:bCs/>
          <w:color w:val="1A1A2E"/>
          <w:sz w:val="21"/>
          <w:szCs w:val="21"/>
        </w:rPr>
        <w:t xml:space="preserve">Sensitive attributes: </w:t>
      </w:r>
      <w:r>
        <w:rPr>
          <w:rFonts w:ascii="Calibri" w:cs="Calibri" w:eastAsia="Calibri" w:hAnsi="Calibri"/>
          <w:color w:val="1A1A2E"/>
          <w:sz w:val="21"/>
          <w:szCs w:val="21"/>
        </w:rPr>
        <w:t xml:space="preserve">Age and Sex (both versions); foreign-worker status and personal-status/sex (full UCI only); Job as a socioeconomic proxy.</w:t>
      </w:r>
    </w:p>
    <w:p>
      <w:pPr>
        <w:pStyle w:val="ListParagraph"/>
        <w:numPr>
          <w:ilvl w:val="0"/>
          <w:numId w:val="3"/>
        </w:numPr>
        <w:spacing w:after="70" w:line="272"/>
      </w:pPr>
      <w:r>
        <w:rPr>
          <w:rFonts w:ascii="Calibri" w:cs="Calibri" w:eastAsia="Calibri" w:hAnsi="Calibri"/>
          <w:b/>
          <w:bCs/>
          <w:color w:val="1A1A2E"/>
          <w:sz w:val="21"/>
          <w:szCs w:val="21"/>
        </w:rPr>
        <w:t xml:space="preserve">Class imbalance: </w:t>
      </w:r>
      <w:r>
        <w:rPr>
          <w:rFonts w:ascii="Calibri" w:cs="Calibri" w:eastAsia="Calibri" w:hAnsi="Calibri"/>
          <w:color w:val="1A1A2E"/>
          <w:sz w:val="21"/>
          <w:szCs w:val="21"/>
        </w:rPr>
        <w:t xml:space="preserve">70/30 plus a 5:1 cost matrix make accuracy misleading — recall on bad credit is the operationally correct metric.</w:t>
      </w:r>
    </w:p>
    <w:p>
      <w:pPr>
        <w:pStyle w:val="Heading1"/>
        <w:spacing w:after="130" w:before="300"/>
      </w:pPr>
      <w:r>
        <w:t xml:space="preserve">4. Regulatory Analysis (Week 1)</w:t>
      </w:r>
    </w:p>
    <w:p>
      <w:pPr>
        <w:spacing w:after="130" w:line="278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Credit scoring is a named high-risk use case under the EU AI Act (Annex III(5)(b)). This drives obligations mapped to concrete artifacts: risk management (Art. 9), data governance &amp; bias examination (Art. 10), technical documentation (Art. 11), logging (Art. 12), transparency (Art. 13), human oversight (Art. 14), and robustness/security (Art. 15). GDPR applies in full — most notably Art. 22 (right not to be subject to a solely automated decision; right to explanation), satisfied by the human-in-the-loop design plus SHAP local explanations. Full mapping in REGULATORY_ANALYSIS.md.</w:t>
      </w:r>
    </w:p>
    <w:p>
      <w:pPr>
        <w:pStyle w:val="Heading1"/>
        <w:spacing w:after="130" w:before="300"/>
      </w:pPr>
      <w:r>
        <w:t xml:space="preserve">5. Methodology (Week 2)</w:t>
      </w:r>
    </w:p>
    <w:p>
      <w:pPr>
        <w:spacing w:after="130" w:line="278"/>
      </w:pPr>
      <w:r>
        <w:rPr>
          <w:rFonts w:ascii="Calibri" w:cs="Calibri" w:eastAsia="Calibri" w:hAnsi="Calibri"/>
          <w:b/>
          <w:bCs/>
          <w:color w:val="1A1A2E"/>
          <w:sz w:val="21"/>
          <w:szCs w:val="21"/>
        </w:rPr>
        <w:t xml:space="preserve">Preprocessing </w:t>
      </w:r>
      <w:r>
        <w:rPr>
          <w:rFonts w:ascii="Calibri" w:cs="Calibri" w:eastAsia="Calibri" w:hAnsi="Calibri"/>
          <w:color w:val="1A1A2E"/>
          <w:sz w:val="21"/>
          <w:szCs w:val="21"/>
        </w:rPr>
        <w:t xml:space="preserve">(preprocessing.py): missing-as-category handling → log-transform + standardisation of numerics → ordinal encoding of ordered tiers → one-hot encoding of nominal features → target mapped to bad = 1 so recall measures risky-applicant detection. A separate audit frame feeds the fairness layer independently of the model's inputs. All preprocessing lives inside the model pipeline, guaranteeing leakage-free cross-validation.</w:t>
      </w:r>
    </w:p>
    <w:p>
      <w:pPr>
        <w:spacing w:after="130" w:line="278"/>
      </w:pPr>
      <w:r>
        <w:rPr>
          <w:rFonts w:ascii="Calibri" w:cs="Calibri" w:eastAsia="Calibri" w:hAnsi="Calibri"/>
          <w:b/>
          <w:bCs/>
          <w:color w:val="1A1A2E"/>
          <w:sz w:val="21"/>
          <w:szCs w:val="21"/>
        </w:rPr>
        <w:t xml:space="preserve">Models </w:t>
      </w:r>
      <w:r>
        <w:rPr>
          <w:rFonts w:ascii="Calibri" w:cs="Calibri" w:eastAsia="Calibri" w:hAnsi="Calibri"/>
          <w:color w:val="1A1A2E"/>
          <w:sz w:val="21"/>
          <w:szCs w:val="21"/>
        </w:rPr>
        <w:t xml:space="preserve">— three across the interpretability–performance spectrum, all with balanced class weights, evaluated on a stratified 80/20 hold-out plus 5-fold cross-validation:</w:t>
      </w:r>
    </w:p>
    <w:tbl>
      <w:tblPr>
        <w:tblW w:type="dxa" w:w="9400"/>
        <w:tblBorders>
          <w:top w:val="single" w:color="D5DAE3" w:sz="2"/>
          <w:left w:val="single" w:color="D5DAE3" w:sz="2"/>
          <w:bottom w:val="single" w:color="D5DAE3" w:sz="2"/>
          <w:right w:val="single" w:color="D5DAE3" w:sz="2"/>
          <w:insideH w:val="single" w:color="D5DAE3" w:sz="2"/>
          <w:insideV w:val="single" w:color="D5DAE3" w:sz="2"/>
        </w:tblBorders>
      </w:tblPr>
      <w:tblGrid>
        <w:gridCol w:w="3100"/>
        <w:gridCol w:w="6300"/>
      </w:tblGrid>
      <w:tr>
        <w:trPr>
          <w:tblHeader/>
        </w:trPr>
        <w:tc>
          <w:tcPr>
            <w:tcW w:type="dxa" w:w="3100"/>
            <w:shd w:fill="EAF0FA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18"/>
                <w:szCs w:val="18"/>
              </w:rPr>
              <w:t xml:space="preserve">Model</w:t>
            </w:r>
          </w:p>
        </w:tc>
        <w:tc>
          <w:tcPr>
            <w:tcW w:type="dxa" w:w="6300"/>
            <w:shd w:fill="EAF0FA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18"/>
                <w:szCs w:val="18"/>
              </w:rPr>
              <w:t xml:space="preserve">Role</w:t>
            </w:r>
          </w:p>
        </w:tc>
      </w:tr>
      <w:tr>
        <w:tc>
          <w:tcPr>
            <w:tcW w:type="dxa" w:w="31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3F4756"/>
                <w:sz w:val="18"/>
                <w:szCs w:val="18"/>
              </w:rPr>
              <w:t xml:space="preserve">Logistic Regression</w:t>
            </w:r>
          </w:p>
        </w:tc>
        <w:tc>
          <w:tcPr>
            <w:tcW w:type="dxa" w:w="63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F4756"/>
                <w:sz w:val="18"/>
                <w:szCs w:val="18"/>
              </w:rPr>
              <w:t xml:space="preserve">Fully transparent regulatory baseline</w:t>
            </w:r>
          </w:p>
        </w:tc>
      </w:tr>
      <w:tr>
        <w:tc>
          <w:tcPr>
            <w:tcW w:type="dxa" w:w="31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3F4756"/>
                <w:sz w:val="18"/>
                <w:szCs w:val="18"/>
              </w:rPr>
              <w:t xml:space="preserve">Decision Tree (depth 5)</w:t>
            </w:r>
          </w:p>
        </w:tc>
        <w:tc>
          <w:tcPr>
            <w:tcW w:type="dxa" w:w="63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F4756"/>
                <w:sz w:val="18"/>
                <w:szCs w:val="18"/>
              </w:rPr>
              <w:t xml:space="preserve">Human-readable decision rules</w:t>
            </w:r>
          </w:p>
        </w:tc>
      </w:tr>
      <w:tr>
        <w:tc>
          <w:tcPr>
            <w:tcW w:type="dxa" w:w="31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3F4756"/>
                <w:sz w:val="18"/>
                <w:szCs w:val="18"/>
              </w:rPr>
              <w:t xml:space="preserve">Random Forest (300 trees)</w:t>
            </w:r>
          </w:p>
        </w:tc>
        <w:tc>
          <w:tcPr>
            <w:tcW w:type="dxa" w:w="63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F4756"/>
                <w:sz w:val="18"/>
                <w:szCs w:val="18"/>
              </w:rPr>
              <w:t xml:space="preserve">Performance reference (selected for audit)</w:t>
            </w:r>
          </w:p>
        </w:tc>
      </w:tr>
    </w:tbl>
    <w:p>
      <w:pPr>
        <w:spacing w:after="60"/>
      </w:pPr>
    </w:p>
    <w:p>
      <w:pPr>
        <w:spacing w:after="130" w:line="278"/>
      </w:pPr>
      <w:r>
        <w:rPr>
          <w:rFonts w:ascii="Calibri" w:cs="Calibri" w:eastAsia="Calibri" w:hAnsi="Calibri"/>
          <w:b/>
          <w:bCs/>
          <w:color w:val="1A1A2E"/>
          <w:sz w:val="21"/>
          <w:szCs w:val="21"/>
        </w:rPr>
        <w:t xml:space="preserve">Evaluation metrics: </w:t>
      </w:r>
      <w:r>
        <w:rPr>
          <w:rFonts w:ascii="Calibri" w:cs="Calibri" w:eastAsia="Calibri" w:hAnsi="Calibri"/>
          <w:color w:val="1A1A2E"/>
          <w:sz w:val="21"/>
          <w:szCs w:val="21"/>
        </w:rPr>
        <w:t xml:space="preserve">Accuracy, Precision, Recall (primary), F1, ROC-AUC.</w:t>
      </w:r>
    </w:p>
    <w:p>
      <w:pPr>
        <w:pStyle w:val="Heading1"/>
        <w:spacing w:after="130" w:before="300"/>
      </w:pPr>
      <w:r>
        <w:t xml:space="preserve">6. Results</w:t>
      </w:r>
    </w:p>
    <w:p>
      <w:pPr>
        <w:spacing w:after="130" w:line="278"/>
      </w:pPr>
      <w:r>
        <w:rPr>
          <w:rFonts w:ascii="Calibri" w:cs="Calibri" w:eastAsia="Calibri" w:hAnsi="Calibri"/>
          <w:b/>
          <w:bCs/>
          <w:color w:val="1A1A2E"/>
          <w:sz w:val="21"/>
          <w:szCs w:val="21"/>
        </w:rPr>
        <w:t xml:space="preserve">Baseline hold-out </w:t>
      </w:r>
      <w:r>
        <w:rPr>
          <w:rFonts w:ascii="Calibri" w:cs="Calibri" w:eastAsia="Calibri" w:hAnsi="Calibri"/>
          <w:color w:val="1A1A2E"/>
          <w:sz w:val="21"/>
          <w:szCs w:val="21"/>
        </w:rPr>
        <w:t xml:space="preserve">(n = 200, positive class = bad credit):</w:t>
      </w:r>
    </w:p>
    <w:tbl>
      <w:tblPr>
        <w:tblW w:type="dxa" w:w="9410"/>
        <w:tblBorders>
          <w:top w:val="single" w:color="D5DAE3" w:sz="2"/>
          <w:left w:val="single" w:color="D5DAE3" w:sz="2"/>
          <w:bottom w:val="single" w:color="D5DAE3" w:sz="2"/>
          <w:right w:val="single" w:color="D5DAE3" w:sz="2"/>
          <w:insideH w:val="single" w:color="D5DAE3" w:sz="2"/>
          <w:insideV w:val="single" w:color="D5DAE3" w:sz="2"/>
        </w:tblBorders>
      </w:tblPr>
      <w:tblGrid>
        <w:gridCol w:w="3000"/>
        <w:gridCol w:w="1180"/>
        <w:gridCol w:w="1180"/>
        <w:gridCol w:w="1310"/>
        <w:gridCol w:w="1120"/>
        <w:gridCol w:w="1620"/>
      </w:tblGrid>
      <w:tr>
        <w:trPr>
          <w:tblHeader/>
        </w:trPr>
        <w:tc>
          <w:tcPr>
            <w:tcW w:type="dxa" w:w="3000"/>
            <w:shd w:fill="EAF0FA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18"/>
                <w:szCs w:val="18"/>
              </w:rPr>
              <w:t xml:space="preserve">Model</w:t>
            </w:r>
          </w:p>
        </w:tc>
        <w:tc>
          <w:tcPr>
            <w:tcW w:type="dxa" w:w="1180"/>
            <w:shd w:fill="EAF0FA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18"/>
                <w:szCs w:val="18"/>
              </w:rPr>
              <w:t xml:space="preserve">Acc</w:t>
            </w:r>
          </w:p>
        </w:tc>
        <w:tc>
          <w:tcPr>
            <w:tcW w:type="dxa" w:w="1180"/>
            <w:shd w:fill="EAF0FA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18"/>
                <w:szCs w:val="18"/>
              </w:rPr>
              <w:t xml:space="preserve">Prec</w:t>
            </w:r>
          </w:p>
        </w:tc>
        <w:tc>
          <w:tcPr>
            <w:tcW w:type="dxa" w:w="1310"/>
            <w:shd w:fill="EAF0FA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18"/>
                <w:szCs w:val="18"/>
              </w:rPr>
              <w:t xml:space="preserve">Recall</w:t>
            </w:r>
          </w:p>
        </w:tc>
        <w:tc>
          <w:tcPr>
            <w:tcW w:type="dxa" w:w="1120"/>
            <w:shd w:fill="EAF0FA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18"/>
                <w:szCs w:val="18"/>
              </w:rPr>
              <w:t xml:space="preserve">F1</w:t>
            </w:r>
          </w:p>
        </w:tc>
        <w:tc>
          <w:tcPr>
            <w:tcW w:type="dxa" w:w="1620"/>
            <w:shd w:fill="EAF0FA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18"/>
                <w:szCs w:val="18"/>
              </w:rPr>
              <w:t xml:space="preserve">ROC-AUC</w:t>
            </w:r>
          </w:p>
        </w:tc>
      </w:tr>
      <w:tr>
        <w:tc>
          <w:tcPr>
            <w:tcW w:type="dxa" w:w="30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3F4756"/>
                <w:sz w:val="18"/>
                <w:szCs w:val="18"/>
              </w:rPr>
              <w:t xml:space="preserve">Logistic Regression</w:t>
            </w:r>
          </w:p>
        </w:tc>
        <w:tc>
          <w:tcPr>
            <w:tcW w:type="dxa" w:w="118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F4756"/>
                <w:sz w:val="18"/>
                <w:szCs w:val="18"/>
              </w:rPr>
              <w:t xml:space="preserve">0.645</w:t>
            </w:r>
          </w:p>
        </w:tc>
        <w:tc>
          <w:tcPr>
            <w:tcW w:type="dxa" w:w="118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F4756"/>
                <w:sz w:val="18"/>
                <w:szCs w:val="18"/>
              </w:rPr>
              <w:t xml:space="preserve">0.432</w:t>
            </w:r>
          </w:p>
        </w:tc>
        <w:tc>
          <w:tcPr>
            <w:tcW w:type="dxa" w:w="131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F4756"/>
                <w:sz w:val="18"/>
                <w:szCs w:val="18"/>
              </w:rPr>
              <w:t xml:space="preserve">0.583</w:t>
            </w:r>
          </w:p>
        </w:tc>
        <w:tc>
          <w:tcPr>
            <w:tcW w:type="dxa" w:w="112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F4756"/>
                <w:sz w:val="18"/>
                <w:szCs w:val="18"/>
              </w:rPr>
              <w:t xml:space="preserve">0.496</w:t>
            </w:r>
          </w:p>
        </w:tc>
        <w:tc>
          <w:tcPr>
            <w:tcW w:type="dxa" w:w="162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F4756"/>
                <w:sz w:val="18"/>
                <w:szCs w:val="18"/>
              </w:rPr>
              <w:t xml:space="preserve">0.664</w:t>
            </w:r>
          </w:p>
        </w:tc>
      </w:tr>
      <w:tr>
        <w:tc>
          <w:tcPr>
            <w:tcW w:type="dxa" w:w="30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3F4756"/>
                <w:sz w:val="18"/>
                <w:szCs w:val="18"/>
              </w:rPr>
              <w:t xml:space="preserve">Decision Tree</w:t>
            </w:r>
          </w:p>
        </w:tc>
        <w:tc>
          <w:tcPr>
            <w:tcW w:type="dxa" w:w="118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F4756"/>
                <w:sz w:val="18"/>
                <w:szCs w:val="18"/>
              </w:rPr>
              <w:t xml:space="preserve">0.620</w:t>
            </w:r>
          </w:p>
        </w:tc>
        <w:tc>
          <w:tcPr>
            <w:tcW w:type="dxa" w:w="118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F4756"/>
                <w:sz w:val="18"/>
                <w:szCs w:val="18"/>
              </w:rPr>
              <w:t xml:space="preserve">0.425</w:t>
            </w:r>
          </w:p>
        </w:tc>
        <w:tc>
          <w:tcPr>
            <w:tcW w:type="dxa" w:w="131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F4756"/>
                <w:sz w:val="18"/>
                <w:szCs w:val="18"/>
              </w:rPr>
              <w:t xml:space="preserve">0.750</w:t>
            </w:r>
          </w:p>
        </w:tc>
        <w:tc>
          <w:tcPr>
            <w:tcW w:type="dxa" w:w="112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F4756"/>
                <w:sz w:val="18"/>
                <w:szCs w:val="18"/>
              </w:rPr>
              <w:t xml:space="preserve">0.542</w:t>
            </w:r>
          </w:p>
        </w:tc>
        <w:tc>
          <w:tcPr>
            <w:tcW w:type="dxa" w:w="162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F4756"/>
                <w:sz w:val="18"/>
                <w:szCs w:val="18"/>
              </w:rPr>
              <w:t xml:space="preserve">0.695</w:t>
            </w:r>
          </w:p>
        </w:tc>
      </w:tr>
      <w:tr>
        <w:tc>
          <w:tcPr>
            <w:tcW w:type="dxa" w:w="30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3F4756"/>
                <w:sz w:val="18"/>
                <w:szCs w:val="18"/>
              </w:rPr>
              <w:t xml:space="preserve">Random Forest</w:t>
            </w:r>
          </w:p>
        </w:tc>
        <w:tc>
          <w:tcPr>
            <w:tcW w:type="dxa" w:w="118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F4756"/>
                <w:sz w:val="18"/>
                <w:szCs w:val="18"/>
              </w:rPr>
              <w:t xml:space="preserve">0.695</w:t>
            </w:r>
          </w:p>
        </w:tc>
        <w:tc>
          <w:tcPr>
            <w:tcW w:type="dxa" w:w="118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F4756"/>
                <w:sz w:val="18"/>
                <w:szCs w:val="18"/>
              </w:rPr>
              <w:t xml:space="preserve">0.494</w:t>
            </w:r>
          </w:p>
        </w:tc>
        <w:tc>
          <w:tcPr>
            <w:tcW w:type="dxa" w:w="131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F4756"/>
                <w:sz w:val="18"/>
                <w:szCs w:val="18"/>
              </w:rPr>
              <w:t xml:space="preserve">0.700</w:t>
            </w:r>
          </w:p>
        </w:tc>
        <w:tc>
          <w:tcPr>
            <w:tcW w:type="dxa" w:w="112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F4756"/>
                <w:sz w:val="18"/>
                <w:szCs w:val="18"/>
              </w:rPr>
              <w:t xml:space="preserve">0.579</w:t>
            </w:r>
          </w:p>
        </w:tc>
        <w:tc>
          <w:tcPr>
            <w:tcW w:type="dxa" w:w="162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F4756"/>
                <w:sz w:val="18"/>
                <w:szCs w:val="18"/>
              </w:rPr>
              <w:t xml:space="preserve">0.774</w:t>
            </w:r>
          </w:p>
        </w:tc>
      </w:tr>
    </w:tbl>
    <w:p>
      <w:pPr>
        <w:spacing w:after="60"/>
      </w:pPr>
    </w:p>
    <w:p>
      <w:pPr>
        <w:spacing w:after="130" w:line="278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Cross-validated recall (LR 0.65 / DT 0.68 / RF 0.70, ±0.06–0.08) confirms the ranking is stable. Accuracy sits below the naive 70% 'approve everyone' baseline by design.</w:t>
      </w:r>
    </w:p>
    <w:p>
      <w:pPr>
        <w:spacing w:after="130" w:line="278"/>
      </w:pPr>
      <w:r>
        <w:rPr>
          <w:rFonts w:ascii="Calibri" w:cs="Calibri" w:eastAsia="Calibri" w:hAnsi="Calibri"/>
          <w:b/>
          <w:bCs/>
          <w:color w:val="1A1A2E"/>
          <w:sz w:val="21"/>
          <w:szCs w:val="21"/>
        </w:rPr>
        <w:t xml:space="preserve">Extended model — full 20-feature UCI dataset: </w:t>
      </w:r>
      <w:r>
        <w:rPr>
          <w:rFonts w:ascii="Calibri" w:cs="Calibri" w:eastAsia="Calibri" w:hAnsi="Calibri"/>
          <w:color w:val="1A1A2E"/>
          <w:sz w:val="21"/>
          <w:szCs w:val="21"/>
        </w:rPr>
        <w:t xml:space="preserve">the same Random Forest improves to Accuracy 0.705, Recall 0.733, ROC-AUC 0.790 — credit history and employment length carry genuine signal the subset discards.</w:t>
      </w:r>
    </w:p>
    <w:p>
      <w:pPr>
        <w:spacing w:after="130" w:line="278"/>
      </w:pPr>
      <w:r>
        <w:rPr>
          <w:rFonts w:ascii="Calibri" w:cs="Calibri" w:eastAsia="Calibri" w:hAnsi="Calibri"/>
          <w:b/>
          <w:bCs/>
          <w:color w:val="1A1A2E"/>
          <w:sz w:val="21"/>
          <w:szCs w:val="21"/>
        </w:rPr>
        <w:t xml:space="preserve">Feature-engineering experiment: </w:t>
      </w:r>
      <w:r>
        <w:rPr>
          <w:rFonts w:ascii="Calibri" w:cs="Calibri" w:eastAsia="Calibri" w:hAnsi="Calibri"/>
          <w:color w:val="1A1A2E"/>
          <w:sz w:val="21"/>
          <w:szCs w:val="21"/>
        </w:rPr>
        <w:t xml:space="preserve">engineering new features (e.g. monthly-payment burden) yields only marginal gains (+0.7 AUC) within CV noise, at a recall cost. Removing class_weight gives the highest accuracy (0.742) but recall collapses to 0.303 — the accuracy trap, quantified. The genuine performance lever is more features (full UCI), not transformed features.</w:t>
      </w:r>
    </w:p>
    <w:p>
      <w:pPr>
        <w:pStyle w:val="Heading1"/>
        <w:spacing w:after="130" w:before="300"/>
      </w:pPr>
      <w:r>
        <w:t xml:space="preserve">7. Fairness Audit &amp; Bias Mitigation</w:t>
      </w:r>
    </w:p>
    <w:p>
      <w:pPr>
        <w:spacing w:after="130" w:line="278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Computed on 5-fold out-of-fold predictions across all 1,000 applicants. Convention: predicted bad = credit denied.</w:t>
      </w:r>
    </w:p>
    <w:p>
      <w:pPr>
        <w:spacing w:after="130" w:line="278"/>
      </w:pPr>
      <w:r>
        <w:rPr>
          <w:rFonts w:ascii="Calibri" w:cs="Calibri" w:eastAsia="Calibri" w:hAnsi="Calibri"/>
          <w:b/>
          <w:bCs/>
          <w:color w:val="1A1A2E"/>
          <w:sz w:val="21"/>
          <w:szCs w:val="21"/>
        </w:rPr>
        <w:t xml:space="preserve">Disparate impact (80% rule) — baseline:</w:t>
      </w:r>
    </w:p>
    <w:tbl>
      <w:tblPr>
        <w:tblW w:type="dxa" w:w="9400"/>
        <w:tblBorders>
          <w:top w:val="single" w:color="D5DAE3" w:sz="2"/>
          <w:left w:val="single" w:color="D5DAE3" w:sz="2"/>
          <w:bottom w:val="single" w:color="D5DAE3" w:sz="2"/>
          <w:right w:val="single" w:color="D5DAE3" w:sz="2"/>
          <w:insideH w:val="single" w:color="D5DAE3" w:sz="2"/>
          <w:insideV w:val="single" w:color="D5DAE3" w:sz="2"/>
        </w:tblBorders>
      </w:tblPr>
      <w:tblGrid>
        <w:gridCol w:w="3900"/>
        <w:gridCol w:w="2900"/>
        <w:gridCol w:w="2600"/>
      </w:tblGrid>
      <w:tr>
        <w:trPr>
          <w:tblHeader/>
        </w:trPr>
        <w:tc>
          <w:tcPr>
            <w:tcW w:type="dxa" w:w="3900"/>
            <w:shd w:fill="EAF0FA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18"/>
                <w:szCs w:val="18"/>
              </w:rPr>
              <w:t xml:space="preserve">Attribute</w:t>
            </w:r>
          </w:p>
        </w:tc>
        <w:tc>
          <w:tcPr>
            <w:tcW w:type="dxa" w:w="2900"/>
            <w:shd w:fill="EAF0FA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18"/>
                <w:szCs w:val="18"/>
              </w:rPr>
              <w:t xml:space="preserve">Disparate impact</w:t>
            </w:r>
          </w:p>
        </w:tc>
        <w:tc>
          <w:tcPr>
            <w:tcW w:type="dxa" w:w="2600"/>
            <w:shd w:fill="EAF0FA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18"/>
                <w:szCs w:val="18"/>
              </w:rPr>
              <w:t xml:space="preserve">Verdict</w:t>
            </w:r>
          </w:p>
        </w:tc>
      </w:tr>
      <w:tr>
        <w:tc>
          <w:tcPr>
            <w:tcW w:type="dxa" w:w="39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3F4756"/>
                <w:sz w:val="18"/>
                <w:szCs w:val="18"/>
              </w:rPr>
              <w:t xml:space="preserve">Sex</w:t>
            </w:r>
          </w:p>
        </w:tc>
        <w:tc>
          <w:tcPr>
            <w:tcW w:type="dxa" w:w="29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F4756"/>
                <w:sz w:val="18"/>
                <w:szCs w:val="18"/>
              </w:rPr>
              <w:t xml:space="preserve">0.83</w:t>
            </w:r>
          </w:p>
        </w:tc>
        <w:tc>
          <w:tcPr>
            <w:tcW w:type="dxa" w:w="26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F4756"/>
                <w:sz w:val="18"/>
                <w:szCs w:val="18"/>
              </w:rPr>
              <w:t xml:space="preserve">borderline</w:t>
            </w:r>
          </w:p>
        </w:tc>
      </w:tr>
      <w:tr>
        <w:tc>
          <w:tcPr>
            <w:tcW w:type="dxa" w:w="39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3F4756"/>
                <w:sz w:val="18"/>
                <w:szCs w:val="18"/>
              </w:rPr>
              <w:t xml:space="preserve">Age band</w:t>
            </w:r>
          </w:p>
        </w:tc>
        <w:tc>
          <w:tcPr>
            <w:tcW w:type="dxa" w:w="29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F4756"/>
                <w:sz w:val="18"/>
                <w:szCs w:val="18"/>
              </w:rPr>
              <w:t xml:space="preserve">0.56</w:t>
            </w:r>
          </w:p>
        </w:tc>
        <w:tc>
          <w:tcPr>
            <w:tcW w:type="dxa" w:w="26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F4756"/>
                <w:sz w:val="18"/>
                <w:szCs w:val="18"/>
              </w:rPr>
              <w:t xml:space="preserve">FAIL</w:t>
            </w:r>
          </w:p>
        </w:tc>
      </w:tr>
      <w:tr>
        <w:tc>
          <w:tcPr>
            <w:tcW w:type="dxa" w:w="39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3F4756"/>
                <w:sz w:val="18"/>
                <w:szCs w:val="18"/>
              </w:rPr>
              <w:t xml:space="preserve">Foreign worker (full UCI)</w:t>
            </w:r>
          </w:p>
        </w:tc>
        <w:tc>
          <w:tcPr>
            <w:tcW w:type="dxa" w:w="29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F4756"/>
                <w:sz w:val="18"/>
                <w:szCs w:val="18"/>
              </w:rPr>
              <w:t xml:space="preserve">0.73</w:t>
            </w:r>
          </w:p>
        </w:tc>
        <w:tc>
          <w:tcPr>
            <w:tcW w:type="dxa" w:w="26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F4756"/>
                <w:sz w:val="18"/>
                <w:szCs w:val="18"/>
              </w:rPr>
              <w:t xml:space="preserve">FAIL</w:t>
            </w:r>
          </w:p>
        </w:tc>
      </w:tr>
    </w:tbl>
    <w:p>
      <w:pPr>
        <w:spacing w:after="60"/>
      </w:pPr>
    </w:p>
    <w:p>
      <w:pPr>
        <w:spacing w:after="130" w:line="278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Applicants under 26 face a 54.5% wrongful-denial rate (vs 24.5% for ages 26–60); foreign workers are approved at 58.8% vs 81.1% for non-foreign workers.</w:t>
      </w:r>
    </w:p>
    <w:p>
      <w:pPr>
        <w:spacing w:after="130" w:line="278"/>
      </w:pPr>
      <w:r>
        <w:rPr>
          <w:rFonts w:ascii="Calibri" w:cs="Calibri" w:eastAsia="Calibri" w:hAnsi="Calibri"/>
          <w:b/>
          <w:bCs/>
          <w:color w:val="1A1A2E"/>
          <w:sz w:val="21"/>
          <w:szCs w:val="21"/>
        </w:rPr>
        <w:t xml:space="preserve">Mitigation </w:t>
      </w:r>
      <w:r>
        <w:rPr>
          <w:rFonts w:ascii="Calibri" w:cs="Calibri" w:eastAsia="Calibri" w:hAnsi="Calibri"/>
          <w:color w:val="1A1A2E"/>
          <w:sz w:val="21"/>
          <w:szCs w:val="21"/>
        </w:rPr>
        <w:t xml:space="preserve">— group-specific FPR-equalizing thresholds:</w:t>
      </w:r>
    </w:p>
    <w:tbl>
      <w:tblPr>
        <w:tblW w:type="dxa" w:w="9400"/>
        <w:tblBorders>
          <w:top w:val="single" w:color="D5DAE3" w:sz="2"/>
          <w:left w:val="single" w:color="D5DAE3" w:sz="2"/>
          <w:bottom w:val="single" w:color="D5DAE3" w:sz="2"/>
          <w:right w:val="single" w:color="D5DAE3" w:sz="2"/>
          <w:insideH w:val="single" w:color="D5DAE3" w:sz="2"/>
          <w:insideV w:val="single" w:color="D5DAE3" w:sz="2"/>
        </w:tblBorders>
      </w:tblPr>
      <w:tblGrid>
        <w:gridCol w:w="1900"/>
        <w:gridCol w:w="1700"/>
        <w:gridCol w:w="2100"/>
        <w:gridCol w:w="1600"/>
        <w:gridCol w:w="2100"/>
      </w:tblGrid>
      <w:tr>
        <w:trPr>
          <w:tblHeader/>
        </w:trPr>
        <w:tc>
          <w:tcPr>
            <w:tcW w:type="dxa" w:w="1900"/>
            <w:shd w:fill="EAF0FA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18"/>
                <w:szCs w:val="18"/>
              </w:rPr>
              <w:t xml:space="preserve">Attribute</w:t>
            </w:r>
          </w:p>
        </w:tc>
        <w:tc>
          <w:tcPr>
            <w:tcW w:type="dxa" w:w="1700"/>
            <w:shd w:fill="EAF0FA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18"/>
                <w:szCs w:val="18"/>
              </w:rPr>
              <w:t xml:space="preserve">Model</w:t>
            </w:r>
          </w:p>
        </w:tc>
        <w:tc>
          <w:tcPr>
            <w:tcW w:type="dxa" w:w="2100"/>
            <w:shd w:fill="EAF0FA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18"/>
                <w:szCs w:val="18"/>
              </w:rPr>
              <w:t xml:space="preserve">Disparate impact</w:t>
            </w:r>
          </w:p>
        </w:tc>
        <w:tc>
          <w:tcPr>
            <w:tcW w:type="dxa" w:w="1600"/>
            <w:shd w:fill="EAF0FA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18"/>
                <w:szCs w:val="18"/>
              </w:rPr>
              <w:t xml:space="preserve">Recall</w:t>
            </w:r>
          </w:p>
        </w:tc>
        <w:tc>
          <w:tcPr>
            <w:tcW w:type="dxa" w:w="2100"/>
            <w:shd w:fill="EAF0FA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18"/>
                <w:szCs w:val="18"/>
              </w:rPr>
              <w:t xml:space="preserve">Verdict</w:t>
            </w:r>
          </w:p>
        </w:tc>
      </w:tr>
      <w:tr>
        <w:tc>
          <w:tcPr>
            <w:tcW w:type="dxa" w:w="19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3F4756"/>
                <w:sz w:val="18"/>
                <w:szCs w:val="18"/>
              </w:rPr>
              <w:t xml:space="preserve">Sex</w:t>
            </w:r>
          </w:p>
        </w:tc>
        <w:tc>
          <w:tcPr>
            <w:tcW w:type="dxa" w:w="17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F4756"/>
                <w:sz w:val="18"/>
                <w:szCs w:val="18"/>
              </w:rPr>
              <w:t xml:space="preserve">9-feature</w:t>
            </w:r>
          </w:p>
        </w:tc>
        <w:tc>
          <w:tcPr>
            <w:tcW w:type="dxa" w:w="21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F4756"/>
                <w:sz w:val="18"/>
                <w:szCs w:val="18"/>
              </w:rPr>
              <w:t xml:space="preserve">0.83 → 0.98</w:t>
            </w:r>
          </w:p>
        </w:tc>
        <w:tc>
          <w:tcPr>
            <w:tcW w:type="dxa" w:w="16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F4756"/>
                <w:sz w:val="18"/>
                <w:szCs w:val="18"/>
              </w:rPr>
              <w:t xml:space="preserve">0.70 → 0.66</w:t>
            </w:r>
          </w:p>
        </w:tc>
        <w:tc>
          <w:tcPr>
            <w:tcW w:type="dxa" w:w="21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F4756"/>
                <w:sz w:val="18"/>
                <w:szCs w:val="18"/>
              </w:rPr>
              <w:t xml:space="preserve">clean</w:t>
            </w:r>
          </w:p>
        </w:tc>
      </w:tr>
      <w:tr>
        <w:tc>
          <w:tcPr>
            <w:tcW w:type="dxa" w:w="19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3F4756"/>
                <w:sz w:val="18"/>
                <w:szCs w:val="18"/>
              </w:rPr>
              <w:t xml:space="preserve">Age band</w:t>
            </w:r>
          </w:p>
        </w:tc>
        <w:tc>
          <w:tcPr>
            <w:tcW w:type="dxa" w:w="17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F4756"/>
                <w:sz w:val="18"/>
                <w:szCs w:val="18"/>
              </w:rPr>
              <w:t xml:space="preserve">9-feature</w:t>
            </w:r>
          </w:p>
        </w:tc>
        <w:tc>
          <w:tcPr>
            <w:tcW w:type="dxa" w:w="21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F4756"/>
                <w:sz w:val="18"/>
                <w:szCs w:val="18"/>
              </w:rPr>
              <w:t xml:space="preserve">0.56 → 0.86</w:t>
            </w:r>
          </w:p>
        </w:tc>
        <w:tc>
          <w:tcPr>
            <w:tcW w:type="dxa" w:w="16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F4756"/>
                <w:sz w:val="18"/>
                <w:szCs w:val="18"/>
              </w:rPr>
              <w:t xml:space="preserve">0.70 → 0.62</w:t>
            </w:r>
          </w:p>
        </w:tc>
        <w:tc>
          <w:tcPr>
            <w:tcW w:type="dxa" w:w="21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F4756"/>
                <w:sz w:val="18"/>
                <w:szCs w:val="18"/>
              </w:rPr>
              <w:t xml:space="preserve">passes; young-denial halved</w:t>
            </w:r>
          </w:p>
        </w:tc>
      </w:tr>
      <w:tr>
        <w:tc>
          <w:tcPr>
            <w:tcW w:type="dxa" w:w="19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3F4756"/>
                <w:sz w:val="18"/>
                <w:szCs w:val="18"/>
              </w:rPr>
              <w:t xml:space="preserve">Age band</w:t>
            </w:r>
          </w:p>
        </w:tc>
        <w:tc>
          <w:tcPr>
            <w:tcW w:type="dxa" w:w="17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F4756"/>
                <w:sz w:val="18"/>
                <w:szCs w:val="18"/>
              </w:rPr>
              <w:t xml:space="preserve">20-feature</w:t>
            </w:r>
          </w:p>
        </w:tc>
        <w:tc>
          <w:tcPr>
            <w:tcW w:type="dxa" w:w="21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F4756"/>
                <w:sz w:val="18"/>
                <w:szCs w:val="18"/>
              </w:rPr>
              <w:t xml:space="preserve">0.58 → 0.94</w:t>
            </w:r>
          </w:p>
        </w:tc>
        <w:tc>
          <w:tcPr>
            <w:tcW w:type="dxa" w:w="16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F4756"/>
                <w:sz w:val="18"/>
                <w:szCs w:val="18"/>
              </w:rPr>
              <w:t xml:space="preserve">0.70 → 0.61</w:t>
            </w:r>
          </w:p>
        </w:tc>
        <w:tc>
          <w:tcPr>
            <w:tcW w:type="dxa" w:w="21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F4756"/>
                <w:sz w:val="18"/>
                <w:szCs w:val="18"/>
              </w:rPr>
              <w:t xml:space="preserve">clean (eq-odds also improves)</w:t>
            </w:r>
          </w:p>
        </w:tc>
      </w:tr>
      <w:tr>
        <w:tc>
          <w:tcPr>
            <w:tcW w:type="dxa" w:w="19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3F4756"/>
                <w:sz w:val="18"/>
                <w:szCs w:val="18"/>
              </w:rPr>
              <w:t xml:space="preserve">Foreign worker</w:t>
            </w:r>
          </w:p>
        </w:tc>
        <w:tc>
          <w:tcPr>
            <w:tcW w:type="dxa" w:w="17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F4756"/>
                <w:sz w:val="18"/>
                <w:szCs w:val="18"/>
              </w:rPr>
              <w:t xml:space="preserve">20-feature</w:t>
            </w:r>
          </w:p>
        </w:tc>
        <w:tc>
          <w:tcPr>
            <w:tcW w:type="dxa" w:w="21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F4756"/>
                <w:sz w:val="18"/>
                <w:szCs w:val="18"/>
              </w:rPr>
              <w:t xml:space="preserve">0.73 → 0.88</w:t>
            </w:r>
          </w:p>
        </w:tc>
        <w:tc>
          <w:tcPr>
            <w:tcW w:type="dxa" w:w="16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F4756"/>
                <w:sz w:val="18"/>
                <w:szCs w:val="18"/>
              </w:rPr>
              <w:t xml:space="preserve">0.70 → 0.50</w:t>
            </w:r>
          </w:p>
        </w:tc>
        <w:tc>
          <w:tcPr>
            <w:tcW w:type="dxa" w:w="21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F4756"/>
                <w:sz w:val="18"/>
                <w:szCs w:val="18"/>
              </w:rPr>
              <w:t xml:space="preserve">TRADE-OFF</w:t>
            </w:r>
          </w:p>
        </w:tc>
      </w:tr>
    </w:tbl>
    <w:p>
      <w:pPr>
        <w:spacing w:after="60"/>
      </w:pPr>
    </w:p>
    <w:p>
      <w:pPr>
        <w:spacing w:after="130" w:line="278"/>
      </w:pPr>
      <w:r>
        <w:rPr>
          <w:rFonts w:ascii="Calibri" w:cs="Calibri" w:eastAsia="Calibri" w:hAnsi="Calibri"/>
          <w:b/>
          <w:bCs/>
          <w:color w:val="1A1A2E"/>
          <w:sz w:val="21"/>
          <w:szCs w:val="21"/>
        </w:rPr>
        <w:t xml:space="preserve">The critical insight. </w:t>
      </w:r>
      <w:r>
        <w:rPr>
          <w:rFonts w:ascii="Calibri" w:cs="Calibri" w:eastAsia="Calibri" w:hAnsi="Calibri"/>
          <w:color w:val="1A1A2E"/>
          <w:sz w:val="21"/>
          <w:szCs w:val="21"/>
        </w:rPr>
        <w:t xml:space="preserve">For sex and age, mitigation is a clean win. For foreign worker it backfires: because that group is ~96% of applicants, raising their threshold to cut wrongful denials makes the model miss half of all bad loans. Fairness mitigation is not always free. When the disadvantaged reference group is a fragile minority (n=37), a naive threshold fix trades away the model's core purpose. The responsible response is to treat foreign-worker fairness as a documented policy decision (partial adjustment, reweighing/in-processing, or governance sign-off), not an automatic rule.</w:t>
      </w:r>
    </w:p>
    <w:p>
      <w:pPr>
        <w:pStyle w:val="Heading1"/>
        <w:spacing w:after="130" w:before="300"/>
      </w:pPr>
      <w:r>
        <w:t xml:space="preserve">8. Explainability (XAI)</w:t>
      </w:r>
    </w:p>
    <w:p>
      <w:pPr>
        <w:pStyle w:val="ListParagraph"/>
        <w:numPr>
          <w:ilvl w:val="0"/>
          <w:numId w:val="3"/>
        </w:numPr>
        <w:spacing w:after="70" w:line="272"/>
      </w:pPr>
      <w:r>
        <w:rPr>
          <w:rFonts w:ascii="Calibri" w:cs="Calibri" w:eastAsia="Calibri" w:hAnsi="Calibri"/>
          <w:b/>
          <w:bCs/>
          <w:color w:val="1A1A2E"/>
          <w:sz w:val="21"/>
          <w:szCs w:val="21"/>
        </w:rPr>
        <w:t xml:space="preserve">Global drivers (mean |SHAP| toward P(bad)): </w:t>
      </w:r>
      <w:r>
        <w:rPr>
          <w:rFonts w:ascii="Calibri" w:cs="Calibri" w:eastAsia="Calibri" w:hAnsi="Calibri"/>
          <w:color w:val="1A1A2E"/>
          <w:sz w:val="21"/>
          <w:szCs w:val="21"/>
        </w:rPr>
        <w:t xml:space="preserve">Checking account 0.120, Duration 0.068, Savings 0.035, Credit amount 0.032, Housing=own 0.023, Age 0.021, Sex 0.012. The model reasons primarily from financial capacity — but the non-zero Age/Sex attributions justify the fairness audit.</w:t>
      </w:r>
    </w:p>
    <w:p>
      <w:pPr>
        <w:pStyle w:val="ListParagraph"/>
        <w:numPr>
          <w:ilvl w:val="0"/>
          <w:numId w:val="3"/>
        </w:numPr>
        <w:spacing w:after="70" w:line="272"/>
      </w:pPr>
      <w:r>
        <w:rPr>
          <w:rFonts w:ascii="Calibri" w:cs="Calibri" w:eastAsia="Calibri" w:hAnsi="Calibri"/>
          <w:b/>
          <w:bCs/>
          <w:color w:val="1A1A2E"/>
          <w:sz w:val="21"/>
          <w:szCs w:val="21"/>
        </w:rPr>
        <w:t xml:space="preserve">Local explanations: </w:t>
      </w:r>
      <w:r>
        <w:rPr>
          <w:rFonts w:ascii="Calibri" w:cs="Calibri" w:eastAsia="Calibri" w:hAnsi="Calibri"/>
          <w:color w:val="1A1A2E"/>
          <w:sz w:val="21"/>
          <w:szCs w:val="21"/>
        </w:rPr>
        <w:t xml:space="preserve">per-applicant SHAP waterfalls give a contestable reason ('denied because of low account balances and a 24-month term') — the GDPR Art. 22 right-to-explanation made concrete.</w:t>
      </w:r>
    </w:p>
    <w:p>
      <w:pPr>
        <w:pStyle w:val="ListParagraph"/>
        <w:numPr>
          <w:ilvl w:val="0"/>
          <w:numId w:val="3"/>
        </w:numPr>
        <w:spacing w:after="70" w:line="272"/>
      </w:pPr>
      <w:r>
        <w:rPr>
          <w:rFonts w:ascii="Calibri" w:cs="Calibri" w:eastAsia="Calibri" w:hAnsi="Calibri"/>
          <w:b/>
          <w:bCs/>
          <w:color w:val="1A1A2E"/>
          <w:sz w:val="21"/>
          <w:szCs w:val="21"/>
        </w:rPr>
        <w:t xml:space="preserve">Transparent reference: </w:t>
      </w:r>
      <w:r>
        <w:rPr>
          <w:rFonts w:ascii="Calibri" w:cs="Calibri" w:eastAsia="Calibri" w:hAnsi="Calibri"/>
          <w:color w:val="1A1A2E"/>
          <w:sz w:val="21"/>
          <w:szCs w:val="21"/>
        </w:rPr>
        <w:t xml:space="preserve">Logistic Regression odds ratios (e.g. education-purpose loans nearly double the odds of bad credit; each standardised unit of duration OR 1.95).</w:t>
      </w:r>
    </w:p>
    <w:p>
      <w:pPr>
        <w:pStyle w:val="Heading1"/>
        <w:spacing w:after="130" w:before="300"/>
      </w:pPr>
      <w:r>
        <w:t xml:space="preserve">9. Adversarial Robustness &amp; Security</w:t>
      </w:r>
    </w:p>
    <w:p>
      <w:pPr>
        <w:spacing w:after="130" w:line="278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Three attack studies (adversarial.py), because a high-risk system's threat model is part of its risk assessment (AI Act Art. 15):</w:t>
      </w:r>
    </w:p>
    <w:p>
      <w:pPr>
        <w:pStyle w:val="ListParagraph"/>
        <w:numPr>
          <w:ilvl w:val="0"/>
          <w:numId w:val="2"/>
        </w:numPr>
        <w:spacing w:after="80" w:line="272"/>
      </w:pPr>
      <w:r>
        <w:rPr>
          <w:rFonts w:ascii="Calibri" w:cs="Calibri" w:eastAsia="Calibri" w:hAnsi="Calibri"/>
          <w:b/>
          <w:bCs/>
          <w:color w:val="1A1A2E"/>
          <w:sz w:val="21"/>
          <w:szCs w:val="21"/>
        </w:rPr>
        <w:t xml:space="preserve">Evasion / gaming: </w:t>
      </w:r>
      <w:r>
        <w:rPr>
          <w:rFonts w:ascii="Calibri" w:cs="Calibri" w:eastAsia="Calibri" w:hAnsi="Calibri"/>
          <w:color w:val="1A1A2E"/>
          <w:sz w:val="21"/>
          <w:szCs w:val="21"/>
        </w:rPr>
        <w:t xml:space="preserve">~52% of rejected applicants flip to 'approved' by halving the requested loan size/term — a real gaming risk.</w:t>
      </w:r>
    </w:p>
    <w:p>
      <w:pPr>
        <w:pStyle w:val="ListParagraph"/>
        <w:numPr>
          <w:ilvl w:val="0"/>
          <w:numId w:val="2"/>
        </w:numPr>
        <w:spacing w:after="80" w:line="272"/>
      </w:pPr>
      <w:r>
        <w:rPr>
          <w:rFonts w:ascii="Calibri" w:cs="Calibri" w:eastAsia="Calibri" w:hAnsi="Calibri"/>
          <w:b/>
          <w:bCs/>
          <w:color w:val="1A1A2E"/>
          <w:sz w:val="21"/>
          <w:szCs w:val="21"/>
        </w:rPr>
        <w:t xml:space="preserve">Data poisoning: </w:t>
      </w:r>
      <w:r>
        <w:rPr>
          <w:rFonts w:ascii="Calibri" w:cs="Calibri" w:eastAsia="Calibri" w:hAnsi="Calibri"/>
          <w:color w:val="1A1A2E"/>
          <w:sz w:val="21"/>
          <w:szCs w:val="21"/>
        </w:rPr>
        <w:t xml:space="preserve">corrupting training labels degrades ranking quality (ROC-AUC 0.79 → 0.71 as 0–30% of labels are flipped).</w:t>
      </w:r>
    </w:p>
    <w:p>
      <w:pPr>
        <w:pStyle w:val="ListParagraph"/>
        <w:numPr>
          <w:ilvl w:val="0"/>
          <w:numId w:val="2"/>
        </w:numPr>
        <w:spacing w:after="80" w:line="272"/>
      </w:pPr>
      <w:r>
        <w:rPr>
          <w:rFonts w:ascii="Calibri" w:cs="Calibri" w:eastAsia="Calibri" w:hAnsi="Calibri"/>
          <w:b/>
          <w:bCs/>
          <w:color w:val="1A1A2E"/>
          <w:sz w:val="21"/>
          <w:szCs w:val="21"/>
        </w:rPr>
        <w:t xml:space="preserve">Membership inference (privacy): </w:t>
      </w:r>
      <w:r>
        <w:rPr>
          <w:rFonts w:ascii="Calibri" w:cs="Calibri" w:eastAsia="Calibri" w:hAnsi="Calibri"/>
          <w:color w:val="1A1A2E"/>
          <w:sz w:val="21"/>
          <w:szCs w:val="21"/>
        </w:rPr>
        <w:t xml:space="preserve">attack AUC ≈ 0.58 — a mild, quantified leak, addressing GDPR data-protection-by-design (Art. 25).</w:t>
      </w:r>
    </w:p>
    <w:p>
      <w:pPr>
        <w:pStyle w:val="Heading1"/>
        <w:spacing w:after="130" w:before="300"/>
      </w:pPr>
      <w:r>
        <w:t xml:space="preserve">10. Risk Assessment</w:t>
      </w:r>
    </w:p>
    <w:tbl>
      <w:tblPr>
        <w:tblW w:type="dxa" w:w="9400"/>
        <w:tblBorders>
          <w:top w:val="single" w:color="D5DAE3" w:sz="2"/>
          <w:left w:val="single" w:color="D5DAE3" w:sz="2"/>
          <w:bottom w:val="single" w:color="D5DAE3" w:sz="2"/>
          <w:right w:val="single" w:color="D5DAE3" w:sz="2"/>
          <w:insideH w:val="single" w:color="D5DAE3" w:sz="2"/>
          <w:insideV w:val="single" w:color="D5DAE3" w:sz="2"/>
        </w:tblBorders>
      </w:tblPr>
      <w:tblGrid>
        <w:gridCol w:w="2900"/>
        <w:gridCol w:w="2000"/>
        <w:gridCol w:w="4500"/>
      </w:tblGrid>
      <w:tr>
        <w:trPr>
          <w:tblHeader/>
        </w:trPr>
        <w:tc>
          <w:tcPr>
            <w:tcW w:type="dxa" w:w="2900"/>
            <w:shd w:fill="EAF0FA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18"/>
                <w:szCs w:val="18"/>
              </w:rPr>
              <w:t xml:space="preserve">Risk</w:t>
            </w:r>
          </w:p>
        </w:tc>
        <w:tc>
          <w:tcPr>
            <w:tcW w:type="dxa" w:w="2000"/>
            <w:shd w:fill="EAF0FA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18"/>
                <w:szCs w:val="18"/>
              </w:rPr>
              <w:t xml:space="preserve">Type</w:t>
            </w:r>
          </w:p>
        </w:tc>
        <w:tc>
          <w:tcPr>
            <w:tcW w:type="dxa" w:w="4500"/>
            <w:shd w:fill="EAF0FA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18"/>
                <w:szCs w:val="18"/>
              </w:rPr>
              <w:t xml:space="preserve">Treatment</w:t>
            </w:r>
          </w:p>
        </w:tc>
      </w:tr>
      <w:tr>
        <w:tc>
          <w:tcPr>
            <w:tcW w:type="dxa" w:w="29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3F4756"/>
                <w:sz w:val="18"/>
                <w:szCs w:val="18"/>
              </w:rPr>
              <w:t xml:space="preserve">Age discrimination</w:t>
            </w:r>
          </w:p>
        </w:tc>
        <w:tc>
          <w:tcPr>
            <w:tcW w:type="dxa" w:w="20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F4756"/>
                <w:sz w:val="18"/>
                <w:szCs w:val="18"/>
              </w:rPr>
              <w:t xml:space="preserve">Fairness / legal</w:t>
            </w:r>
          </w:p>
        </w:tc>
        <w:tc>
          <w:tcPr>
            <w:tcW w:type="dxa" w:w="45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F4756"/>
                <w:sz w:val="18"/>
                <w:szCs w:val="18"/>
              </w:rPr>
              <w:t xml:space="preserve">Detected (DI 0.56) → mitigated (0.86), young-denial halved</w:t>
            </w:r>
          </w:p>
        </w:tc>
      </w:tr>
      <w:tr>
        <w:tc>
          <w:tcPr>
            <w:tcW w:type="dxa" w:w="29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3F4756"/>
                <w:sz w:val="18"/>
                <w:szCs w:val="18"/>
              </w:rPr>
              <w:t xml:space="preserve">Sex discrimination</w:t>
            </w:r>
          </w:p>
        </w:tc>
        <w:tc>
          <w:tcPr>
            <w:tcW w:type="dxa" w:w="20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F4756"/>
                <w:sz w:val="18"/>
                <w:szCs w:val="18"/>
              </w:rPr>
              <w:t xml:space="preserve">Fairness / legal</w:t>
            </w:r>
          </w:p>
        </w:tc>
        <w:tc>
          <w:tcPr>
            <w:tcW w:type="dxa" w:w="45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F4756"/>
                <w:sz w:val="18"/>
                <w:szCs w:val="18"/>
              </w:rPr>
              <w:t xml:space="preserve">Mitigated via group thresholds (0.83 → 0.98)</w:t>
            </w:r>
          </w:p>
        </w:tc>
      </w:tr>
      <w:tr>
        <w:tc>
          <w:tcPr>
            <w:tcW w:type="dxa" w:w="29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3F4756"/>
                <w:sz w:val="18"/>
                <w:szCs w:val="18"/>
              </w:rPr>
              <w:t xml:space="preserve">Foreign-worker discrimination</w:t>
            </w:r>
          </w:p>
        </w:tc>
        <w:tc>
          <w:tcPr>
            <w:tcW w:type="dxa" w:w="20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F4756"/>
                <w:sz w:val="18"/>
                <w:szCs w:val="18"/>
              </w:rPr>
              <w:t xml:space="preserve">Fairness / legal</w:t>
            </w:r>
          </w:p>
        </w:tc>
        <w:tc>
          <w:tcPr>
            <w:tcW w:type="dxa" w:w="45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F4756"/>
                <w:sz w:val="18"/>
                <w:szCs w:val="18"/>
              </w:rPr>
              <w:t xml:space="preserve">Detected (DI 0.73); mitigation is a documented trade-off → policy decision</w:t>
            </w:r>
          </w:p>
        </w:tc>
      </w:tr>
      <w:tr>
        <w:tc>
          <w:tcPr>
            <w:tcW w:type="dxa" w:w="29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3F4756"/>
                <w:sz w:val="18"/>
                <w:szCs w:val="18"/>
              </w:rPr>
              <w:t xml:space="preserve">Historical bias in labels</w:t>
            </w:r>
          </w:p>
        </w:tc>
        <w:tc>
          <w:tcPr>
            <w:tcW w:type="dxa" w:w="20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F4756"/>
                <w:sz w:val="18"/>
                <w:szCs w:val="18"/>
              </w:rPr>
              <w:t xml:space="preserve">Data</w:t>
            </w:r>
          </w:p>
        </w:tc>
        <w:tc>
          <w:tcPr>
            <w:tcW w:type="dxa" w:w="45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F4756"/>
                <w:sz w:val="18"/>
                <w:szCs w:val="18"/>
              </w:rPr>
              <w:t xml:space="preserve">Documented; model audited rather than trusted blindly</w:t>
            </w:r>
          </w:p>
        </w:tc>
      </w:tr>
      <w:tr>
        <w:tc>
          <w:tcPr>
            <w:tcW w:type="dxa" w:w="29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3F4756"/>
                <w:sz w:val="18"/>
                <w:szCs w:val="18"/>
              </w:rPr>
              <w:t xml:space="preserve">Score gaming</w:t>
            </w:r>
          </w:p>
        </w:tc>
        <w:tc>
          <w:tcPr>
            <w:tcW w:type="dxa" w:w="20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F4756"/>
                <w:sz w:val="18"/>
                <w:szCs w:val="18"/>
              </w:rPr>
              <w:t xml:space="preserve">Security</w:t>
            </w:r>
          </w:p>
        </w:tc>
        <w:tc>
          <w:tcPr>
            <w:tcW w:type="dxa" w:w="45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F4756"/>
                <w:sz w:val="18"/>
                <w:szCs w:val="18"/>
              </w:rPr>
              <w:t xml:space="preserve">Quantified (evasion study); flag manipulable features</w:t>
            </w:r>
          </w:p>
        </w:tc>
      </w:tr>
      <w:tr>
        <w:tc>
          <w:tcPr>
            <w:tcW w:type="dxa" w:w="29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3F4756"/>
                <w:sz w:val="18"/>
                <w:szCs w:val="18"/>
              </w:rPr>
              <w:t xml:space="preserve">Privacy leakage</w:t>
            </w:r>
          </w:p>
        </w:tc>
        <w:tc>
          <w:tcPr>
            <w:tcW w:type="dxa" w:w="20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F4756"/>
                <w:sz w:val="18"/>
                <w:szCs w:val="18"/>
              </w:rPr>
              <w:t xml:space="preserve">Security / legal</w:t>
            </w:r>
          </w:p>
        </w:tc>
        <w:tc>
          <w:tcPr>
            <w:tcW w:type="dxa" w:w="45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F4756"/>
                <w:sz w:val="18"/>
                <w:szCs w:val="18"/>
              </w:rPr>
              <w:t xml:space="preserve">Membership-inference measured (AUC 0.58)</w:t>
            </w:r>
          </w:p>
        </w:tc>
      </w:tr>
      <w:tr>
        <w:tc>
          <w:tcPr>
            <w:tcW w:type="dxa" w:w="29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3F4756"/>
                <w:sz w:val="18"/>
                <w:szCs w:val="18"/>
              </w:rPr>
              <w:t xml:space="preserve">Automation bias</w:t>
            </w:r>
          </w:p>
        </w:tc>
        <w:tc>
          <w:tcPr>
            <w:tcW w:type="dxa" w:w="20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F4756"/>
                <w:sz w:val="18"/>
                <w:szCs w:val="18"/>
              </w:rPr>
              <w:t xml:space="preserve">Governance</w:t>
            </w:r>
          </w:p>
        </w:tc>
        <w:tc>
          <w:tcPr>
            <w:tcW w:type="dxa" w:w="45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F4756"/>
                <w:sz w:val="18"/>
                <w:szCs w:val="18"/>
              </w:rPr>
              <w:t xml:space="preserve">Human-in-the-loop + per-decision explanation + fairness context</w:t>
            </w:r>
          </w:p>
        </w:tc>
      </w:tr>
    </w:tbl>
    <w:p>
      <w:pPr>
        <w:pStyle w:val="Heading1"/>
        <w:spacing w:after="130" w:before="300"/>
      </w:pPr>
      <w:r>
        <w:t xml:space="preserve">11. Testing &amp; Reproducibility (Week 3)</w:t>
      </w:r>
    </w:p>
    <w:p>
      <w:pPr>
        <w:spacing w:after="130" w:line="278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A pytest suite of 43 tests at 98.9% line coverage, enforced at ≥80% via pytest.ini. Tests include hand-computed confusion-matrix checks, fairness-metric ground truth, and attack-invariant tests (e.g. shrinking a loan can never lower an applicant's approval chance). requirements.txt pins exact library versions so the figures reproduce on a clean install.</w:t>
      </w:r>
    </w:p>
    <w:p>
      <w:pPr>
        <w:pStyle w:val="Heading1"/>
        <w:spacing w:after="130" w:before="300"/>
      </w:pPr>
      <w:r>
        <w:t xml:space="preserve">12. Deployment — Decision-Support Application</w:t>
      </w:r>
    </w:p>
    <w:p>
      <w:pPr>
        <w:spacing w:after="130" w:line="278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A local Streamlit app (streamlit_app.py) turns the architecture into a working artifact: enter an applicant, receive a risk score, a banded recommendation, a live SHAP explanation, a fairness warning if the applicant falls in a flagged group, and — for declined applicants — a counterfactual recourse panel (recourse.py).</w:t>
      </w:r>
    </w:p>
    <w:p>
      <w:pPr>
        <w:spacing w:after="130" w:line="278"/>
      </w:pPr>
      <w:r>
        <w:rPr>
          <w:rFonts w:ascii="Calibri" w:cs="Calibri" w:eastAsia="Calibri" w:hAnsi="Calibri"/>
          <w:b/>
          <w:bCs/>
          <w:color w:val="1A1A2E"/>
          <w:sz w:val="21"/>
          <w:szCs w:val="21"/>
        </w:rPr>
        <w:t xml:space="preserve">Counterfactual recourse. </w:t>
      </w:r>
      <w:r>
        <w:rPr>
          <w:rFonts w:ascii="Calibri" w:cs="Calibri" w:eastAsia="Calibri" w:hAnsi="Calibri"/>
          <w:color w:val="1A1A2E"/>
          <w:sz w:val="21"/>
          <w:szCs w:val="21"/>
        </w:rPr>
        <w:t xml:space="preserve">Where SHAP explains why an applicant was declined, recourse explains how they could be approved: the smallest realistic change to the loan they control (a smaller amount or shorter term) that flips the recommendation — e.g. “reduce both the amount and term by 55% → approved.” When no loan reduction suffices, it honestly reports that a broader manual review is needed rather than a smaller loan. This implements the right-to-recourse principle in responsible lending: a denial should come with a path, not just a reason.</w:t>
      </w:r>
    </w:p>
    <w:p>
      <w:pPr>
        <w:spacing w:after="130" w:line="278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The app is explicitly decision support — the loan officer holds final authority, and every assessment is logged (inputs, score, explanation) for auditability.</w:t>
      </w:r>
    </w:p>
    <w:p>
      <w:pPr>
        <w:pStyle w:val="Heading1"/>
        <w:spacing w:after="130" w:before="300"/>
      </w:pPr>
      <w:r>
        <w:t xml:space="preserve">13. Transparency &amp; Accountability</w:t>
      </w:r>
    </w:p>
    <w:p>
      <w:pPr>
        <w:pStyle w:val="ListParagraph"/>
        <w:numPr>
          <w:ilvl w:val="0"/>
          <w:numId w:val="3"/>
        </w:numPr>
        <w:spacing w:after="70" w:line="272"/>
      </w:pPr>
      <w:r>
        <w:rPr>
          <w:rFonts w:ascii="Calibri" w:cs="Calibri" w:eastAsia="Calibri" w:hAnsi="Calibri"/>
          <w:b/>
          <w:bCs/>
          <w:color w:val="1A1A2E"/>
          <w:sz w:val="21"/>
          <w:szCs w:val="21"/>
        </w:rPr>
        <w:t xml:space="preserve">Model card </w:t>
      </w:r>
      <w:r>
        <w:rPr>
          <w:rFonts w:ascii="Calibri" w:cs="Calibri" w:eastAsia="Calibri" w:hAnsi="Calibri"/>
          <w:color w:val="1A1A2E"/>
          <w:sz w:val="21"/>
          <w:szCs w:val="21"/>
        </w:rPr>
        <w:t xml:space="preserve">(MODEL_CARD.md): intended use, out-of-scope uses, performance, fairness results, and caveats.</w:t>
      </w:r>
    </w:p>
    <w:p>
      <w:pPr>
        <w:pStyle w:val="ListParagraph"/>
        <w:numPr>
          <w:ilvl w:val="0"/>
          <w:numId w:val="3"/>
        </w:numPr>
        <w:spacing w:after="70" w:line="272"/>
      </w:pPr>
      <w:r>
        <w:rPr>
          <w:rFonts w:ascii="Calibri" w:cs="Calibri" w:eastAsia="Calibri" w:hAnsi="Calibri"/>
          <w:b/>
          <w:bCs/>
          <w:color w:val="1A1A2E"/>
          <w:sz w:val="21"/>
          <w:szCs w:val="21"/>
        </w:rPr>
        <w:t xml:space="preserve">Human-in-the-loop: </w:t>
      </w:r>
      <w:r>
        <w:rPr>
          <w:rFonts w:ascii="Calibri" w:cs="Calibri" w:eastAsia="Calibri" w:hAnsi="Calibri"/>
          <w:color w:val="1A1A2E"/>
          <w:sz w:val="21"/>
          <w:szCs w:val="21"/>
        </w:rPr>
        <w:t xml:space="preserve">the system emits a recommendation + explanation + fairness context; a human decides — keeping it out of GDPR Art. 22's 'solely automated' prohibition and satisfying AI Act Art. 14 oversight.</w:t>
      </w:r>
    </w:p>
    <w:p>
      <w:pPr>
        <w:pStyle w:val="ListParagraph"/>
        <w:numPr>
          <w:ilvl w:val="0"/>
          <w:numId w:val="3"/>
        </w:numPr>
        <w:spacing w:after="70" w:line="272"/>
      </w:pPr>
      <w:r>
        <w:rPr>
          <w:rFonts w:ascii="Calibri" w:cs="Calibri" w:eastAsia="Calibri" w:hAnsi="Calibri"/>
          <w:b/>
          <w:bCs/>
          <w:color w:val="1A1A2E"/>
          <w:sz w:val="21"/>
          <w:szCs w:val="21"/>
        </w:rPr>
        <w:t xml:space="preserve">Auditability: </w:t>
      </w:r>
      <w:r>
        <w:rPr>
          <w:rFonts w:ascii="Calibri" w:cs="Calibri" w:eastAsia="Calibri" w:hAnsi="Calibri"/>
          <w:color w:val="1A1A2E"/>
          <w:sz w:val="21"/>
          <w:szCs w:val="21"/>
        </w:rPr>
        <w:t xml:space="preserve">every stage is scripted, tested, and reproducible; predictions carry SHAP explanations suitable for logging and contestation.</w:t>
      </w:r>
    </w:p>
    <w:p>
      <w:pPr>
        <w:pStyle w:val="Heading1"/>
        <w:spacing w:after="130" w:before="300"/>
      </w:pPr>
      <w:r>
        <w:t xml:space="preserve">14. Limitations &amp; Future Work</w:t>
      </w:r>
    </w:p>
    <w:p>
      <w:pPr>
        <w:pStyle w:val="ListParagraph"/>
        <w:numPr>
          <w:ilvl w:val="0"/>
          <w:numId w:val="2"/>
        </w:numPr>
        <w:spacing w:after="80" w:line="272"/>
      </w:pPr>
      <w:r>
        <w:rPr>
          <w:rFonts w:ascii="Calibri" w:cs="Calibri" w:eastAsia="Calibri" w:hAnsi="Calibri"/>
          <w:b/>
          <w:bCs/>
          <w:color w:val="1A1A2E"/>
          <w:sz w:val="21"/>
          <w:szCs w:val="21"/>
        </w:rPr>
        <w:t xml:space="preserve">Foreign-worker fairness </w:t>
      </w:r>
      <w:r>
        <w:rPr>
          <w:rFonts w:ascii="Calibri" w:cs="Calibri" w:eastAsia="Calibri" w:hAnsi="Calibri"/>
          <w:color w:val="1A1A2E"/>
          <w:sz w:val="21"/>
          <w:szCs w:val="21"/>
        </w:rPr>
        <w:t xml:space="preserve">needs a policy-level approach (partial adjustment / reweighing / governance sign-off) rather than an automatic threshold — the top remaining fairness task. (Sex and age mitigation are implemented.)</w:t>
      </w:r>
    </w:p>
    <w:p>
      <w:pPr>
        <w:pStyle w:val="ListParagraph"/>
        <w:numPr>
          <w:ilvl w:val="0"/>
          <w:numId w:val="2"/>
        </w:numPr>
        <w:spacing w:after="80" w:line="272"/>
      </w:pPr>
      <w:r>
        <w:rPr>
          <w:rFonts w:ascii="Calibri" w:cs="Calibri" w:eastAsia="Calibri" w:hAnsi="Calibri"/>
          <w:b/>
          <w:bCs/>
          <w:color w:val="1A1A2E"/>
          <w:sz w:val="21"/>
          <w:szCs w:val="21"/>
        </w:rPr>
        <w:t xml:space="preserve">Small subgroups </w:t>
      </w:r>
      <w:r>
        <w:rPr>
          <w:rFonts w:ascii="Calibri" w:cs="Calibri" w:eastAsia="Calibri" w:hAnsi="Calibri"/>
          <w:color w:val="1A1A2E"/>
          <w:sz w:val="21"/>
          <w:szCs w:val="21"/>
        </w:rPr>
        <w:t xml:space="preserve">(&gt;60: n=45; non-foreign workers: n=37) make some estimates fragile — visible in the age equalized-odds wobble on the 9-feature model.</w:t>
      </w:r>
    </w:p>
    <w:p>
      <w:pPr>
        <w:pStyle w:val="ListParagraph"/>
        <w:numPr>
          <w:ilvl w:val="0"/>
          <w:numId w:val="2"/>
        </w:numPr>
        <w:spacing w:after="80" w:line="272"/>
      </w:pPr>
      <w:r>
        <w:rPr>
          <w:rFonts w:ascii="Calibri" w:cs="Calibri" w:eastAsia="Calibri" w:hAnsi="Calibri"/>
          <w:b/>
          <w:bCs/>
          <w:color w:val="1A1A2E"/>
          <w:sz w:val="21"/>
          <w:szCs w:val="21"/>
        </w:rPr>
        <w:t xml:space="preserve">Intersectionality: </w:t>
      </w:r>
      <w:r>
        <w:rPr>
          <w:rFonts w:ascii="Calibri" w:cs="Calibri" w:eastAsia="Calibri" w:hAnsi="Calibri"/>
          <w:color w:val="1A1A2E"/>
          <w:sz w:val="21"/>
          <w:szCs w:val="21"/>
        </w:rPr>
        <w:t xml:space="preserve">audit joint groups (young women, young foreign workers) where disparities compound.</w:t>
      </w:r>
    </w:p>
    <w:p>
      <w:pPr>
        <w:pStyle w:val="ListParagraph"/>
        <w:numPr>
          <w:ilvl w:val="0"/>
          <w:numId w:val="2"/>
        </w:numPr>
        <w:spacing w:after="80" w:line="272"/>
      </w:pPr>
      <w:r>
        <w:rPr>
          <w:rFonts w:ascii="Calibri" w:cs="Calibri" w:eastAsia="Calibri" w:hAnsi="Calibri"/>
          <w:b/>
          <w:bCs/>
          <w:color w:val="1A1A2E"/>
          <w:sz w:val="21"/>
          <w:szCs w:val="21"/>
        </w:rPr>
        <w:t xml:space="preserve">Productionisation: </w:t>
      </w:r>
      <w:r>
        <w:rPr>
          <w:rFonts w:ascii="Calibri" w:cs="Calibri" w:eastAsia="Calibri" w:hAnsi="Calibri"/>
          <w:color w:val="1A1A2E"/>
          <w:sz w:val="21"/>
          <w:szCs w:val="21"/>
        </w:rPr>
        <w:t xml:space="preserve">event logging (AI Act Art. 12) and post-market monitoring (Art. 72) for distribution shift.</w:t>
      </w:r>
    </w:p>
    <w:p>
      <w:pPr>
        <w:pStyle w:val="Heading1"/>
        <w:spacing w:after="130" w:before="300"/>
      </w:pPr>
      <w:r>
        <w:t xml:space="preserve">15. Conclusion</w:t>
      </w:r>
    </w:p>
    <w:p>
      <w:pPr>
        <w:spacing w:after="130" w:line="278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The project delivers a credit-scoring system engineered for a high-risk regulatory context: performant on the correct metric, explainable at global and local levels, fair (with two of three disparities mitigated and the third honestly documented as a policy trade-off), threat-modelled, tested to 98.9% coverage, and deployed as a human-in-the-loop decision-support app. Its most valuable contribution is not a single number but a demonstrated methodology: measure bias rather than assume it away, mitigate where mitigation is appropriate, and know when a fair-looking fix would do more harm than good.</w:t>
      </w:r>
    </w:p>
    <w:p>
      <w:pPr>
        <w:pStyle w:val="Heading1"/>
        <w:spacing w:after="130" w:before="300"/>
      </w:pPr>
      <w:r>
        <w:t xml:space="preserve">16. How to Reproduce</w:t>
      </w:r>
    </w:p>
    <w:p>
      <w:pPr>
        <w:shd w:fill="F4F6FA" w:color="auto" w:val="clear"/>
        <w:spacing w:after="4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pip install -r requirements.txt        # exact version pins</w:t>
      </w:r>
    </w:p>
    <w:p>
      <w:pPr>
        <w:shd w:fill="F4F6FA" w:color="auto" w:val="clear"/>
        <w:spacing w:after="4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python -m pytest                       # 43 tests, 98.9% coverage</w:t>
      </w:r>
    </w:p>
    <w:p>
      <w:pPr>
        <w:shd w:fill="F4F6FA" w:color="auto" w:val="clear"/>
        <w:spacing w:after="4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python src/train_baseline.py           # models + metrics + charts</w:t>
      </w:r>
    </w:p>
    <w:p>
      <w:pPr>
        <w:shd w:fill="F4F6FA" w:color="auto" w:val="clear"/>
        <w:spacing w:after="4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python src/fairness_audit.py           # fairness + sex/age mitigation</w:t>
      </w:r>
    </w:p>
    <w:p>
      <w:pPr>
        <w:shd w:fill="F4F6FA" w:color="auto" w:val="clear"/>
        <w:spacing w:after="4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python src/full_uci.py                 # 20-feature model + FW trade-off</w:t>
      </w:r>
    </w:p>
    <w:p>
      <w:pPr>
        <w:shd w:fill="F4F6FA" w:color="auto" w:val="clear"/>
        <w:spacing w:after="40"/>
      </w:pPr>
      <w:r>
        <w:rPr>
          <w:rFonts w:ascii="Consolas" w:cs="Consolas" w:eastAsia="Consolas" w:hAnsi="Consolas"/>
          <w:color w:val="1A1A2E"/>
          <w:sz w:val="18"/>
          <w:szCs w:val="18"/>
        </w:rPr>
        <w:t xml:space="preserve">streamlit run app/streamlit_app.py     # decision-support app</w:t>
      </w:r>
    </w:p>
    <w:p>
      <w:pPr>
        <w:spacing w:after="130" w:line="278"/>
      </w:pPr>
      <w:r>
        <w:rPr>
          <w:rFonts w:ascii="Calibri" w:cs="Calibri" w:eastAsia="Calibri" w:hAnsi="Calibri"/>
          <w:i/>
          <w:iCs/>
          <w:color w:val="5A6472"/>
          <w:sz w:val="19"/>
          <w:szCs w:val="19"/>
        </w:rPr>
        <w:t xml:space="preserve">The complete analysis also runs end-to-end in the presentation notebook (Kernel → Restart &amp; Run All).</w:t>
      </w:r>
    </w:p>
    <w:sectPr>
      <w:pgSz w:w="11906" w:h="16838" w:orient="portrait"/>
      <w:pgMar w:top="1134" w:right="1200" w:bottom="1134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2E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30" w:before="300"/>
    </w:pPr>
    <w:rPr>
      <w:rFonts w:ascii="Cambria" w:cs="Cambria" w:eastAsia="Cambria" w:hAnsi="Cambria"/>
      <w:b/>
      <w:bCs/>
      <w:color w:val="1E2761"/>
      <w:sz w:val="28"/>
      <w:szCs w:val="28"/>
    </w:rPr>
  </w:style>
  <w:style w:type="paragraph" w:styleId="Heading2">
    <w:name w:val="Heading 2"/>
    <w:basedOn w:val="Normal"/>
    <w:next w:val="Normal"/>
    <w:qFormat/>
    <w:pPr>
      <w:keepNext/>
      <w:spacing w:after="80" w:before="200"/>
    </w:pPr>
    <w:rPr>
      <w:rFonts w:ascii="Calibri" w:cs="Calibri" w:eastAsia="Calibri" w:hAnsi="Calibri"/>
      <w:b/>
      <w:bCs/>
      <w:color w:val="1A1A2E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Responsible AI for Credit Scoring — Final Report</dc:title>
  <dc:creator>Devagiri Rahul Shrikant; Mehatab</dc:creator>
  <cp:lastModifiedBy>Un-named</cp:lastModifiedBy>
  <cp:revision>1</cp:revision>
  <dcterms:created xsi:type="dcterms:W3CDTF">2026-07-20T10:24:38.683Z</dcterms:created>
  <dcterms:modified xsi:type="dcterms:W3CDTF">2026-07-20T10:24:38.686Z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