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mbria" w:cs="Cambria" w:eastAsia="Cambria" w:hAnsi="Cambria"/>
          <w:b/>
          <w:bCs/>
          <w:color w:val="1E2761"/>
          <w:sz w:val="52"/>
          <w:szCs w:val="52"/>
        </w:rPr>
        <w:t xml:space="preserve">Responsible AI for Credit Scoring</w:t>
      </w:r>
    </w:p>
    <w:p>
      <w:pPr>
        <w:spacing w:after="200" w:before="120"/>
      </w:pPr>
      <w:r>
        <w:rPr>
          <w:rFonts w:ascii="Calibri" w:cs="Calibri" w:eastAsia="Calibri" w:hAnsi="Calibri"/>
          <w:i/>
          <w:iCs/>
          <w:color w:val="2A78D6"/>
          <w:sz w:val="26"/>
          <w:szCs w:val="26"/>
        </w:rPr>
        <w:t xml:space="preserve">A Fairness-Audited, Explainable and Adversarially-Tested
Machine Learning System on the German Credit Dataset</w:t>
      </w:r>
    </w:p>
    <w:p>
      <w:pPr>
        <w:pBdr>
          <w:bottom w:val="single" w:color="1E2761" w:sz="8" w:space="8"/>
        </w:pBd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Final in-depth documentation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Course:  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Responsible AI &amp; Data Ethics (PEL), SS 2026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Track:  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The Ethical Credit System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Dataset:  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German Credit (UCI / Kaggle) — 1,000 applicants</w:t>
      </w:r>
    </w:p>
    <w:p>
      <w:pPr>
        <w:spacing w:after="40" w:before="22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TEAM MEMBERS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2E"/>
          <w:sz w:val="24"/>
          <w:szCs w:val="24"/>
        </w:rPr>
        <w:t xml:space="preserve">Devagiri Rahul Shrikant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1A2E"/>
          <w:sz w:val="24"/>
          <w:szCs w:val="24"/>
        </w:rPr>
        <w:t xml:space="preserve">Mehatab</w:t>
      </w:r>
    </w:p>
    <w:p>
      <w:r>
        <w:rPr>
          <w:rFonts w:ascii="Calibri" w:cs="Calibri" w:eastAsia="Calibri" w:hAnsi="Calibri"/>
          <w:color w:val="5A6472"/>
          <w:sz w:val="20"/>
          <w:szCs w:val="20"/>
        </w:rPr>
        <w:t xml:space="preserve">July 2026</w:t>
      </w:r>
    </w:p>
    <w:p>
      <w:r>
        <w:br w:type="page"/>
      </w:r>
    </w:p>
    <w:p>
      <w:pPr>
        <w:spacing w:after="12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Contents</w:t>
      </w:r>
    </w:p>
    <w:p>
      <w:sdt>
        <w:sdtPr>
          <w:alias w:val="Contents"/>
        </w:sdtPr>
        <w:sdtContent>
          <w:p>
            <w:r>
              <w:fldChar w:fldCharType="begin" w:dirty="true"/>
              <w:instrText xml:space="preserve">TOC \h \o "1-1"</w:instrText>
              <w:fldChar w:fldCharType="separate"/>
            </w:r>
          </w:p>
          <w:p>
            <w:r>
              <w:fldChar w:fldCharType="end"/>
            </w:r>
          </w:p>
        </w:sdtContent>
      </w:sdt>
    </w:p>
    <w:p>
      <w:r>
        <w:br w:type="page"/>
      </w:r>
    </w:p>
    <w:p>
      <w:pPr>
        <w:pStyle w:val="Heading1"/>
        <w:spacing w:after="130" w:before="300"/>
      </w:pPr>
      <w:r>
        <w:t xml:space="preserve">1. Executive Summary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project builds a credit-risk classification system on the German Credit dataset (1,000 applicants) and subjects it to a complete Responsible-AI evaluation: fairness auditing, bias mitigation, explainability, adversarial testing, and a regulatory analysis mapped to the EU AI Act and GDPR. A Random Forest (ROC-AUC 0.770 on the 9-feature subset, 0.783 on the full 20-feature dataset) is the audited model.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Headline findings: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Accuracy is the wrong metric.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With a 70/30 class balance and a 5:1 cost asymmetry, the model is optimised for recall on bad credit. Removing cost-sensitive weighting raises accuracy to 0.72 but collapses recall to 0.15 — the 'most accurate' model is the worst lender.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Two protected attributes fail the 80% fairness rule: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age (disparate impact 0.50) and — visible only in the full dataset — foreign-worker status (0.71).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Bias mitigation works for sex and age: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group-specific thresholds repair sex (0.80 → 0.96) and age (0.50 → 0.82), roughly halving the wrongful-denial rate for applicants under 26 (59% → 29%), at a modest recall cost.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Fairness mitigation is not always free.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The same technique on foreign-worker status improves the fairness metric (0.71 → 0.93) but collapses recall (0.76 → 0.47), because that group is 96% of applicants — documented as a policy decision, not an automatic fix.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Validated against overfitting: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the train vs cross-validation AUC gap was measured and the Random Forest regularised to close it (0.17 → 0.07); recall improved to 0.75 and the held-out test AUC matches cross-validation.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Explainable, tested and threat-modelled: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SHAP global/local explanations, a 43-test suite at 98.9% coverage, and three adversarial studies (poisoning, evasion, membership inference).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system is designed as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human-in-the-loop decision support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consistent with the EU AI Act (credit scoring = high-risk) and GDPR Art. 22.</w:t>
      </w:r>
    </w:p>
    <w:p>
      <w:pPr>
        <w:pStyle w:val="Heading1"/>
        <w:spacing w:after="130" w:before="300"/>
      </w:pPr>
      <w:r>
        <w:t xml:space="preserve">2. Project Objectives &amp; Scope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Objective: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demonstrate that a credit-scoring model can be built to be compliant by construction — accurate on the metric that matters to a lender, and simultaneously auditable, explainable, fair, robust, and legally defensible.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Scope: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classical, interpretable machine learning on a small tabular dataset. The system is a decision-support prototype, not a production deployment; it informs a human loan officer rather than deciding autonomously.</w:t>
      </w:r>
    </w:p>
    <w:p>
      <w:pPr>
        <w:pStyle w:val="Heading1"/>
        <w:spacing w:after="130" w:before="300"/>
      </w:pPr>
      <w:r>
        <w:t xml:space="preserve">3. Data Analysis (Week 1)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Dataset: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1,000 applicants, binary target (70% good / 30% bad). Two versions: the 9-feature Kaggle subset (baseline) and the original 20-feature UCI file (extended analysis).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Data quality — a key finding: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the original UCI dataset has zero missing values; 'no account' is an explicit category (codes A14 checking, A65 savings). The Kaggle version re-encoded those as blanks (183 savings, 394 checking — matching the UCI counts exactly). Filling with a 'none' category reconstructs the original meaning rather than imputing.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Distribution: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Credit amount is right-skewed (skew 1.95); log-transformed rather than trimmed. Duration and Credit amount correlate (~0.6); both increase risk.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Sensitive attributes: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Age and Sex (both versions); foreign-worker status and personal-status/sex (full UCI only); Job as a socioeconomic proxy.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Class imbalance: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70/30 plus a 5:1 cost matrix make accuracy misleading — recall on bad credit is the operationally correct metric.</w:t>
      </w:r>
    </w:p>
    <w:p>
      <w:pPr>
        <w:pStyle w:val="Heading1"/>
        <w:spacing w:after="130" w:before="300"/>
      </w:pPr>
      <w:r>
        <w:t xml:space="preserve">4. Regulatory Analysis (Week 1)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Credit scoring is a named high-risk use case under the EU AI Act (Annex III(5)(b)). This drives obligations mapped to concrete artifacts: risk management (Art. 9), data governance &amp; bias examination (Art. 10), technical documentation (Art. 11), logging (Art. 12), transparency (Art. 13), human oversight (Art. 14), and robustness/security (Art. 15). GDPR applies in full — most notably Art. 22 (right not to be subject to a solely automated decision; right to explanation), satisfied by the human-in-the-loop design plus SHAP local explanations. Full mapping in REGULATORY_ANALYSIS.md.</w:t>
      </w:r>
    </w:p>
    <w:p>
      <w:pPr>
        <w:pStyle w:val="Heading1"/>
        <w:spacing w:after="130" w:before="300"/>
      </w:pPr>
      <w:r>
        <w:t xml:space="preserve">5. Methodology (Week 2)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Preprocessing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(preprocessing.py): missing-as-category handling → log-transform + standardisation of numerics → ordinal encoding of ordered tiers → one-hot encoding of nominal features → target mapped to bad = 1 so recall measures risky-applicant detection. A separate audit frame feeds the fairness layer independently of the model's inputs. All preprocessing lives inside the model pipeline, guaranteeing leakage-free cross-validation.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Models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— three across the interpretability–performance spectrum, all with balanced class weights, evaluated on a stratified 80/20 hold-out plus 5-fold cross-validation:</w:t>
      </w:r>
    </w:p>
    <w:tbl>
      <w:tblPr>
        <w:tblW w:type="dxa" w:w="9400"/>
        <w:tblBorders>
          <w:top w:val="single" w:color="D5DAE3" w:sz="2"/>
          <w:left w:val="single" w:color="D5DAE3" w:sz="2"/>
          <w:bottom w:val="single" w:color="D5DAE3" w:sz="2"/>
          <w:right w:val="single" w:color="D5DAE3" w:sz="2"/>
          <w:insideH w:val="single" w:color="D5DAE3" w:sz="2"/>
          <w:insideV w:val="single" w:color="D5DAE3" w:sz="2"/>
        </w:tblBorders>
      </w:tblPr>
      <w:tblGrid>
        <w:gridCol w:w="3100"/>
        <w:gridCol w:w="6300"/>
      </w:tblGrid>
      <w:tr>
        <w:trPr>
          <w:tblHeader/>
        </w:trPr>
        <w:tc>
          <w:tcPr>
            <w:tcW w:type="dxa" w:w="31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Model</w:t>
            </w:r>
          </w:p>
        </w:tc>
        <w:tc>
          <w:tcPr>
            <w:tcW w:type="dxa" w:w="63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6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Fully transparent regulatory baseline</w:t>
            </w:r>
          </w:p>
        </w:tc>
      </w:tr>
      <w:tr>
        <w:tc>
          <w:tcPr>
            <w:tcW w:type="dxa" w:w="3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Decision Tree (depth 5)</w:t>
            </w:r>
          </w:p>
        </w:tc>
        <w:tc>
          <w:tcPr>
            <w:tcW w:type="dxa" w:w="6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Human-readable decision rules</w:t>
            </w:r>
          </w:p>
        </w:tc>
      </w:tr>
      <w:tr>
        <w:tc>
          <w:tcPr>
            <w:tcW w:type="dxa" w:w="3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Random Forest (300 trees)</w:t>
            </w:r>
          </w:p>
        </w:tc>
        <w:tc>
          <w:tcPr>
            <w:tcW w:type="dxa" w:w="6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Performance reference (selected for audit)</w:t>
            </w:r>
          </w:p>
        </w:tc>
      </w:tr>
    </w:tbl>
    <w:p>
      <w:pPr>
        <w:spacing w:after="60"/>
      </w:pP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Evaluation metrics: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Accuracy, Precision, Recall (primary), F1, ROC-AUC.</w:t>
      </w:r>
    </w:p>
    <w:p>
      <w:pPr>
        <w:pStyle w:val="Heading1"/>
        <w:spacing w:after="130" w:before="300"/>
      </w:pPr>
      <w:r>
        <w:t xml:space="preserve">6. Results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Baseline hold-out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(n = 200, positive class = bad credit):</w:t>
      </w:r>
    </w:p>
    <w:tbl>
      <w:tblPr>
        <w:tblW w:type="dxa" w:w="9410"/>
        <w:tblBorders>
          <w:top w:val="single" w:color="D5DAE3" w:sz="2"/>
          <w:left w:val="single" w:color="D5DAE3" w:sz="2"/>
          <w:bottom w:val="single" w:color="D5DAE3" w:sz="2"/>
          <w:right w:val="single" w:color="D5DAE3" w:sz="2"/>
          <w:insideH w:val="single" w:color="D5DAE3" w:sz="2"/>
          <w:insideV w:val="single" w:color="D5DAE3" w:sz="2"/>
        </w:tblBorders>
      </w:tblPr>
      <w:tblGrid>
        <w:gridCol w:w="3000"/>
        <w:gridCol w:w="1180"/>
        <w:gridCol w:w="1180"/>
        <w:gridCol w:w="1310"/>
        <w:gridCol w:w="1120"/>
        <w:gridCol w:w="1620"/>
      </w:tblGrid>
      <w:tr>
        <w:trPr>
          <w:tblHeader/>
        </w:trPr>
        <w:tc>
          <w:tcPr>
            <w:tcW w:type="dxa" w:w="30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Model</w:t>
            </w:r>
          </w:p>
        </w:tc>
        <w:tc>
          <w:tcPr>
            <w:tcW w:type="dxa" w:w="118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Acc</w:t>
            </w:r>
          </w:p>
        </w:tc>
        <w:tc>
          <w:tcPr>
            <w:tcW w:type="dxa" w:w="118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Prec</w:t>
            </w:r>
          </w:p>
        </w:tc>
        <w:tc>
          <w:tcPr>
            <w:tcW w:type="dxa" w:w="131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Recall</w:t>
            </w:r>
          </w:p>
        </w:tc>
        <w:tc>
          <w:tcPr>
            <w:tcW w:type="dxa" w:w="112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F1</w:t>
            </w:r>
          </w:p>
        </w:tc>
        <w:tc>
          <w:tcPr>
            <w:tcW w:type="dxa" w:w="162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ROC-AUC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0.645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0.432</w:t>
            </w:r>
          </w:p>
        </w:tc>
        <w:tc>
          <w:tcPr>
            <w:tcW w:type="dxa" w:w="131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0.583</w:t>
            </w:r>
          </w:p>
        </w:tc>
        <w:tc>
          <w:tcPr>
            <w:tcW w:type="dxa" w:w="112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0.496</w:t>
            </w:r>
          </w:p>
        </w:tc>
        <w:tc>
          <w:tcPr>
            <w:tcW w:type="dxa" w:w="162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0.664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Decision Tree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0.620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0.425</w:t>
            </w:r>
          </w:p>
        </w:tc>
        <w:tc>
          <w:tcPr>
            <w:tcW w:type="dxa" w:w="131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0.750</w:t>
            </w:r>
          </w:p>
        </w:tc>
        <w:tc>
          <w:tcPr>
            <w:tcW w:type="dxa" w:w="112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0.542</w:t>
            </w:r>
          </w:p>
        </w:tc>
        <w:tc>
          <w:tcPr>
            <w:tcW w:type="dxa" w:w="162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0.695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0.690</w:t>
            </w:r>
          </w:p>
        </w:tc>
        <w:tc>
          <w:tcPr>
            <w:tcW w:type="dxa" w:w="118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0.489</w:t>
            </w:r>
          </w:p>
        </w:tc>
        <w:tc>
          <w:tcPr>
            <w:tcW w:type="dxa" w:w="131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0.750</w:t>
            </w:r>
          </w:p>
        </w:tc>
        <w:tc>
          <w:tcPr>
            <w:tcW w:type="dxa" w:w="112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0.592</w:t>
            </w:r>
          </w:p>
        </w:tc>
        <w:tc>
          <w:tcPr>
            <w:tcW w:type="dxa" w:w="162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0.770</w:t>
            </w:r>
          </w:p>
        </w:tc>
      </w:tr>
    </w:tbl>
    <w:p>
      <w:pPr>
        <w:spacing w:after="60"/>
      </w:pP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Cross-validated recall (LR 0.65 / DT 0.68 / RF 0.75, ±0.04–0.08) confirms the ranking is stable. Accuracy sits below the naive 70% 'approve everyone' baseline by design.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Extended model — full 20-feature UCI dataset: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the same Random Forest improves to Accuracy 0.695, Recall 0.783, ROC-AUC 0.783 — credit history and employment length carry genuine signal the subset discards.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Feature-engineering experiment: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engineering new features (e.g. monthly-payment burden) yields only marginal gains (+0.7 AUC) within CV noise, at a recall cost. Removing class_weight gives the highest accuracy (0.723) but recall collapses to 0.153 — the accuracy trap, quantified. The genuine performance lever is more features (full UCI), not transformed features.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Overfitting check.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We measured the train vs 5-fold cross-validation AUC gap and plotted the learning curve. The initial Random Forest showed a large gap (train 0.93 vs CV 0.76 — the signature of memorisation); regularising it (min_samples_leaf=20) cut the gap to 0.07 while holding CV AUC and improving recall. The train and CV curves converge, and the held-out test AUC (0.77) matches CV — the model generalises rather than memorises.</w:t>
      </w:r>
    </w:p>
    <w:p>
      <w:pPr>
        <w:pStyle w:val="Heading1"/>
        <w:spacing w:after="130" w:before="300"/>
      </w:pPr>
      <w:r>
        <w:t xml:space="preserve">7. Fairness Audit &amp; Bias Mitigation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Computed on 5-fold out-of-fold predictions across all 1,000 applicants. Convention: predicted bad = credit denied.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Disparate impact (80% rule) — baseline:</w:t>
      </w:r>
    </w:p>
    <w:tbl>
      <w:tblPr>
        <w:tblW w:type="dxa" w:w="9400"/>
        <w:tblBorders>
          <w:top w:val="single" w:color="D5DAE3" w:sz="2"/>
          <w:left w:val="single" w:color="D5DAE3" w:sz="2"/>
          <w:bottom w:val="single" w:color="D5DAE3" w:sz="2"/>
          <w:right w:val="single" w:color="D5DAE3" w:sz="2"/>
          <w:insideH w:val="single" w:color="D5DAE3" w:sz="2"/>
          <w:insideV w:val="single" w:color="D5DAE3" w:sz="2"/>
        </w:tblBorders>
      </w:tblPr>
      <w:tblGrid>
        <w:gridCol w:w="3900"/>
        <w:gridCol w:w="2900"/>
        <w:gridCol w:w="2600"/>
      </w:tblGrid>
      <w:tr>
        <w:trPr>
          <w:tblHeader/>
        </w:trPr>
        <w:tc>
          <w:tcPr>
            <w:tcW w:type="dxa" w:w="39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Attribute</w:t>
            </w:r>
          </w:p>
        </w:tc>
        <w:tc>
          <w:tcPr>
            <w:tcW w:type="dxa" w:w="29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Disparate impact</w:t>
            </w:r>
          </w:p>
        </w:tc>
        <w:tc>
          <w:tcPr>
            <w:tcW w:type="dxa" w:w="26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3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Sex</w:t>
            </w:r>
          </w:p>
        </w:tc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0.80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borderline</w:t>
            </w:r>
          </w:p>
        </w:tc>
      </w:tr>
      <w:tr>
        <w:tc>
          <w:tcPr>
            <w:tcW w:type="dxa" w:w="3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Age band</w:t>
            </w:r>
          </w:p>
        </w:tc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0.50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3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Foreign worker (full UCI)</w:t>
            </w:r>
          </w:p>
        </w:tc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0.71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FAIL</w:t>
            </w:r>
          </w:p>
        </w:tc>
      </w:tr>
    </w:tbl>
    <w:p>
      <w:pPr>
        <w:spacing w:after="60"/>
      </w:pP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Applicants under 26 face a 59% wrongful-denial rate (vs 29% for ages 26–60); foreign workers are approved at ~54% vs ~76% for non-foreign workers.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Mitigation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— group-specific FPR-equalizing thresholds:</w:t>
      </w:r>
    </w:p>
    <w:tbl>
      <w:tblPr>
        <w:tblW w:type="dxa" w:w="9400"/>
        <w:tblBorders>
          <w:top w:val="single" w:color="D5DAE3" w:sz="2"/>
          <w:left w:val="single" w:color="D5DAE3" w:sz="2"/>
          <w:bottom w:val="single" w:color="D5DAE3" w:sz="2"/>
          <w:right w:val="single" w:color="D5DAE3" w:sz="2"/>
          <w:insideH w:val="single" w:color="D5DAE3" w:sz="2"/>
          <w:insideV w:val="single" w:color="D5DAE3" w:sz="2"/>
        </w:tblBorders>
      </w:tblPr>
      <w:tblGrid>
        <w:gridCol w:w="1900"/>
        <w:gridCol w:w="1700"/>
        <w:gridCol w:w="2100"/>
        <w:gridCol w:w="1600"/>
        <w:gridCol w:w="2100"/>
      </w:tblGrid>
      <w:tr>
        <w:trPr>
          <w:tblHeader/>
        </w:trPr>
        <w:tc>
          <w:tcPr>
            <w:tcW w:type="dxa" w:w="19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Attribute</w:t>
            </w:r>
          </w:p>
        </w:tc>
        <w:tc>
          <w:tcPr>
            <w:tcW w:type="dxa" w:w="17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Model</w:t>
            </w:r>
          </w:p>
        </w:tc>
        <w:tc>
          <w:tcPr>
            <w:tcW w:type="dxa" w:w="21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Disparate impact</w:t>
            </w:r>
          </w:p>
        </w:tc>
        <w:tc>
          <w:tcPr>
            <w:tcW w:type="dxa" w:w="16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Recall</w:t>
            </w:r>
          </w:p>
        </w:tc>
        <w:tc>
          <w:tcPr>
            <w:tcW w:type="dxa" w:w="21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Sex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9-feature</w:t>
            </w:r>
          </w:p>
        </w:tc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0.80 → 0.96</w:t>
            </w:r>
          </w:p>
        </w:tc>
        <w:tc>
          <w:tcPr>
            <w:tcW w:type="dxa" w:w="1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0.75 → 0.72</w:t>
            </w:r>
          </w:p>
        </w:tc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clean</w:t>
            </w:r>
          </w:p>
        </w:tc>
      </w:tr>
      <w:tr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Age band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9-feature</w:t>
            </w:r>
          </w:p>
        </w:tc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0.50 → 0.82</w:t>
            </w:r>
          </w:p>
        </w:tc>
        <w:tc>
          <w:tcPr>
            <w:tcW w:type="dxa" w:w="1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0.75 → 0.67</w:t>
            </w:r>
          </w:p>
        </w:tc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passes; young-denial halved</w:t>
            </w:r>
          </w:p>
        </w:tc>
      </w:tr>
      <w:tr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Age band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20-feature</w:t>
            </w:r>
          </w:p>
        </w:tc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0.54 → 0.92</w:t>
            </w:r>
          </w:p>
        </w:tc>
        <w:tc>
          <w:tcPr>
            <w:tcW w:type="dxa" w:w="1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0.76 → 0.68</w:t>
            </w:r>
          </w:p>
        </w:tc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clean (eq-odds also improves)</w:t>
            </w:r>
          </w:p>
        </w:tc>
      </w:tr>
      <w:tr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Foreign worker</w:t>
            </w:r>
          </w:p>
        </w:tc>
        <w:tc>
          <w:tcPr>
            <w:tcW w:type="dxa" w:w="1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20-feature</w:t>
            </w:r>
          </w:p>
        </w:tc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0.71 → 0.93</w:t>
            </w:r>
          </w:p>
        </w:tc>
        <w:tc>
          <w:tcPr>
            <w:tcW w:type="dxa" w:w="1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0.76 → 0.47</w:t>
            </w:r>
          </w:p>
        </w:tc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TRADE-OFF</w:t>
            </w:r>
          </w:p>
        </w:tc>
      </w:tr>
    </w:tbl>
    <w:p>
      <w:pPr>
        <w:spacing w:after="60"/>
      </w:pP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critical insight.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For sex and age, mitigation is a clean win. For foreign worker it backfires: because that group is ~96% of applicants, raising their threshold to cut wrongful denials makes the model miss half of all bad loans. Fairness mitigation is not always free. When the disadvantaged reference group is a fragile minority (n=37), a naive threshold fix trades away the model's core purpose. The responsible response is to treat foreign-worker fairness as a documented policy decision (partial adjustment, reweighing/in-processing, or governance sign-off), not an automatic rule.</w:t>
      </w:r>
    </w:p>
    <w:p>
      <w:pPr>
        <w:pStyle w:val="Heading1"/>
        <w:spacing w:after="130" w:before="300"/>
      </w:pPr>
      <w:r>
        <w:t xml:space="preserve">8. Explainability (XAI)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Global drivers (mean |SHAP| toward P(bad)):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Checking account 0.106, Duration 0.052, Savings 0.023, Credit amount 0.023, Housing=own 0.017, Age 0.015. The model reasons primarily from financial capacity — but the non-zero Age attribution justifies the fairness audit.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Local explanations: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per-applicant SHAP waterfalls give a contestable reason ('denied because of low account balances and a 24-month term') — the GDPR Art. 22 right-to-explanation made concrete.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Transparent reference: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Logistic Regression odds ratios (e.g. education-purpose loans nearly double the odds of bad credit; each standardised unit of duration OR 1.95).</w:t>
      </w:r>
    </w:p>
    <w:p>
      <w:pPr>
        <w:pStyle w:val="Heading1"/>
        <w:spacing w:after="130" w:before="300"/>
      </w:pPr>
      <w:r>
        <w:t xml:space="preserve">9. Adversarial Robustness &amp; Security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Three attack studies (adversarial.py), because a high-risk system's threat model is part of its risk assessment (AI Act Art. 15):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Evasion / gaming: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~41% of rejected applicants flip to 'approved' by halving the requested loan size/term — a real gaming risk.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Data poisoning: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corrupting training labels degrades ranking quality (ROC-AUC 0.77 → 0.75 as 0–30% of labels are flipped).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Membership inference (privacy):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attack AUC ≈ 0.53 — a mild, quantified leak (the regularised model memorises less than the original), addressing GDPR data-protection-by-design (Art. 25).</w:t>
      </w:r>
    </w:p>
    <w:p>
      <w:pPr>
        <w:pStyle w:val="Heading1"/>
        <w:spacing w:after="130" w:before="300"/>
      </w:pPr>
      <w:r>
        <w:t xml:space="preserve">10. Risk Assessment</w:t>
      </w:r>
    </w:p>
    <w:tbl>
      <w:tblPr>
        <w:tblW w:type="dxa" w:w="9400"/>
        <w:tblBorders>
          <w:top w:val="single" w:color="D5DAE3" w:sz="2"/>
          <w:left w:val="single" w:color="D5DAE3" w:sz="2"/>
          <w:bottom w:val="single" w:color="D5DAE3" w:sz="2"/>
          <w:right w:val="single" w:color="D5DAE3" w:sz="2"/>
          <w:insideH w:val="single" w:color="D5DAE3" w:sz="2"/>
          <w:insideV w:val="single" w:color="D5DAE3" w:sz="2"/>
        </w:tblBorders>
      </w:tblPr>
      <w:tblGrid>
        <w:gridCol w:w="2900"/>
        <w:gridCol w:w="2000"/>
        <w:gridCol w:w="4500"/>
      </w:tblGrid>
      <w:tr>
        <w:trPr>
          <w:tblHeader/>
        </w:trPr>
        <w:tc>
          <w:tcPr>
            <w:tcW w:type="dxa" w:w="29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Risk</w:t>
            </w:r>
          </w:p>
        </w:tc>
        <w:tc>
          <w:tcPr>
            <w:tcW w:type="dxa" w:w="20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shd w:fill="EAF0FA" w:color="auto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Treatment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Age discrimination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Fairness / legal</w:t>
            </w:r>
          </w:p>
        </w:tc>
        <w:tc>
          <w:tcPr>
            <w:tcW w:type="dxa" w:w="4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Detected (DI 0.50) → mitigated (0.82), young-denial halved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Sex discrimination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Fairness / legal</w:t>
            </w:r>
          </w:p>
        </w:tc>
        <w:tc>
          <w:tcPr>
            <w:tcW w:type="dxa" w:w="4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Mitigated via group thresholds (0.80 → 0.96)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Foreign-worker discrimination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Fairness / legal</w:t>
            </w:r>
          </w:p>
        </w:tc>
        <w:tc>
          <w:tcPr>
            <w:tcW w:type="dxa" w:w="4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Detected (DI 0.71); mitigation is a documented trade-off → policy decision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Historical bias in labels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Documented; model audited rather than trusted blindly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Score gaming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Security</w:t>
            </w:r>
          </w:p>
        </w:tc>
        <w:tc>
          <w:tcPr>
            <w:tcW w:type="dxa" w:w="4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Quantified (evasion study); flag manipulable features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Privacy leakage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Security / legal</w:t>
            </w:r>
          </w:p>
        </w:tc>
        <w:tc>
          <w:tcPr>
            <w:tcW w:type="dxa" w:w="4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Membership-inference measured (AUC 0.53)</w:t>
            </w:r>
          </w:p>
        </w:tc>
      </w:tr>
      <w:tr>
        <w:tc>
          <w:tcPr>
            <w:tcW w:type="dxa" w:w="2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3F4756"/>
                <w:sz w:val="18"/>
                <w:szCs w:val="18"/>
              </w:rPr>
              <w:t xml:space="preserve">Automation bias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Governance</w:t>
            </w:r>
          </w:p>
        </w:tc>
        <w:tc>
          <w:tcPr>
            <w:tcW w:type="dxa" w:w="4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3F4756"/>
                <w:sz w:val="18"/>
                <w:szCs w:val="18"/>
              </w:rPr>
              <w:t xml:space="preserve">Human-in-the-loop + per-decision explanation + fairness context</w:t>
            </w:r>
          </w:p>
        </w:tc>
      </w:tr>
    </w:tbl>
    <w:p>
      <w:pPr>
        <w:pStyle w:val="Heading1"/>
        <w:spacing w:after="130" w:before="300"/>
      </w:pPr>
      <w:r>
        <w:t xml:space="preserve">11. Testing &amp; Reproducibility (Week 3)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pytest suite of 43 tests at 98.9% line coverage, enforced at ≥80% via pytest.ini. Tests include hand-computed confusion-matrix checks, fairness-metric ground truth, and attack-invariant tests (e.g. shrinking a loan can never lower an applicant's approval chance). requirements.txt pins exact library versions so the figures reproduce on a clean install.</w:t>
      </w:r>
    </w:p>
    <w:p>
      <w:pPr>
        <w:pStyle w:val="Heading1"/>
        <w:spacing w:after="130" w:before="300"/>
      </w:pPr>
      <w:r>
        <w:t xml:space="preserve">12. Deployment — Decision-Support Application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local Streamlit app (streamlit_app.py) turns the architecture into a working artifact: enter an applicant, receive a risk score, a banded recommendation, a live SHAP explanation, a fairness warning if the applicant falls in a flagged group, and — for declined applicants — a counterfactual recourse panel (recourse.py).</w:t>
      </w:r>
    </w:p>
    <w:p>
      <w:pPr>
        <w:spacing w:after="130" w:line="278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Counterfactual recourse.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Where SHAP explains why an applicant was declined, recourse explains how they could be approved: the smallest realistic change to the loan they control (a smaller amount or shorter term) that flips the recommendation — e.g. “reduce both the amount and term by 25% → approved.” When no loan reduction suffices, it honestly reports that a broader manual review is needed rather than a smaller loan. This implements the right-to-recourse principle in responsible lending: a denial should come with a path, not just a reason.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app is explicitly decision support — the loan officer holds final authority, and every assessment is logged (inputs, score, explanation) for auditability.</w:t>
      </w:r>
    </w:p>
    <w:p>
      <w:pPr>
        <w:pStyle w:val="Heading1"/>
        <w:spacing w:after="130" w:before="300"/>
      </w:pPr>
      <w:r>
        <w:t xml:space="preserve">13. Transparency &amp; Accountability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Model card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(MODEL_CARD.md): intended use, out-of-scope uses, performance, fairness results, and caveats.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Human-in-the-loop: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the system emits a recommendation + explanation + fairness context; a human decides — keeping it out of GDPR Art. 22's 'solely automated' prohibition and satisfying AI Act Art. 14 oversight.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Auditability: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every stage is scripted, tested, and reproducible; predictions carry SHAP explanations suitable for logging and contestation.</w:t>
      </w:r>
    </w:p>
    <w:p>
      <w:pPr>
        <w:pStyle w:val="Heading1"/>
        <w:spacing w:after="130" w:before="300"/>
      </w:pPr>
      <w:r>
        <w:t xml:space="preserve">14. Limitations &amp; Future Work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Foreign-worker fairness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needs a policy-level approach (partial adjustment / reweighing / governance sign-off) rather than an automatic threshold — the top remaining fairness task. (Sex and age mitigation are implemented.)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Small subgroups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(&gt;60: n=45; non-foreign workers: n=37) make some estimates fragile — visible in the age equalized-odds wobble on the 9-feature model.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Intersectionality: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audit joint groups (young women, young foreign workers) where disparities compound.</w:t>
      </w:r>
    </w:p>
    <w:p>
      <w:pPr>
        <w:pStyle w:val="ListParagraph"/>
        <w:numPr>
          <w:ilvl w:val="0"/>
          <w:numId w:val="2"/>
        </w:numPr>
        <w:spacing w:after="80" w:line="272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Productionisation: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event logging (AI Act Art. 12) and post-market monitoring (Art. 72) for distribution shift.</w:t>
      </w:r>
    </w:p>
    <w:p>
      <w:pPr>
        <w:pStyle w:val="Heading1"/>
        <w:spacing w:after="130" w:before="300"/>
      </w:pPr>
      <w:r>
        <w:t xml:space="preserve">15. Conclusion</w:t>
      </w:r>
    </w:p>
    <w:p>
      <w:pPr>
        <w:spacing w:after="130" w:line="278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project delivers a credit-scoring system engineered for a high-risk regulatory context: performant on the correct metric, explainable at global and local levels, fair (with two of three disparities mitigated and the third honestly documented as a policy trade-off), threat-modelled, tested to 98.9% coverage, and deployed as a human-in-the-loop decision-support app. Its most valuable contribution is not a single number but a demonstrated methodology: measure bias rather than assume it away, mitigate where mitigation is appropriate, and know when a fair-looking fix would do more harm than good.</w:t>
      </w:r>
    </w:p>
    <w:p>
      <w:pPr>
        <w:pStyle w:val="Heading1"/>
        <w:spacing w:after="130" w:before="300"/>
      </w:pPr>
      <w:r>
        <w:t xml:space="preserve">16. How to Reproduce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pip install -r requirements.txt        # exact version pins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python -m pytest                       # 43 tests, 98.9% coverage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python src/train_baseline.py           # models + metrics + charts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python src/fairness_audit.py           # fairness + sex/age mitigation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python src/full_uci.py                 # 20-feature model + FW trade-off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streamlit run app/streamlit_app.py     # decision-support app</w:t>
      </w:r>
    </w:p>
    <w:p>
      <w:pPr>
        <w:spacing w:after="130" w:line="278"/>
      </w:pPr>
      <w:r>
        <w:rPr>
          <w:rFonts w:ascii="Calibri" w:cs="Calibri" w:eastAsia="Calibri" w:hAnsi="Calibri"/>
          <w:i/>
          <w:iCs/>
          <w:color w:val="5A6472"/>
          <w:sz w:val="19"/>
          <w:szCs w:val="19"/>
        </w:rPr>
        <w:t xml:space="preserve">The complete analysis also runs end-to-end in the presentation notebook (Kernel → Restart &amp; Run All).</w:t>
      </w:r>
    </w:p>
    <w:sectPr>
      <w:pgSz w:w="11906" w:h="16838" w:orient="portrait"/>
      <w:pgMar w:top="1134" w:right="1200" w:bottom="1134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30" w:before="300"/>
    </w:pPr>
    <w:rPr>
      <w:rFonts w:ascii="Cambria" w:cs="Cambria" w:eastAsia="Cambria" w:hAnsi="Cambria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1A1A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Responsible AI for Credit Scoring — Final Report</dc:title>
  <dc:creator>Devagiri Rahul Shrikant; Mehatab</dc:creator>
  <cp:lastModifiedBy>Un-named</cp:lastModifiedBy>
  <cp:revision>1</cp:revision>
  <dcterms:created xsi:type="dcterms:W3CDTF">2026-07-20T13:51:59.803Z</dcterms:created>
  <dcterms:modified xsi:type="dcterms:W3CDTF">2026-07-20T13:51:59.816Z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