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Abstractor Report Typing — Implementation Rulebook v1.0</w:t>
      </w:r>
    </w:p>
    <w:p>
      <w:pPr>
        <w:spacing w:after="90"/>
      </w:pPr>
      <w:r>
        <w:rPr>
          <w:i/>
          <w:iCs/>
          <w:color w:val="555555"/>
        </w:rPr>
        <w:t xml:space="preserve">Vendor 66805 · Final consolidated specification for development · Supersedes all prior rule documents</w:t>
      </w:r>
    </w:p>
    <w:p>
      <w:pPr>
        <w:pStyle w:val="Heading1"/>
      </w:pPr>
      <w:r>
        <w:rPr>
          <w:b/>
          <w:bCs/>
        </w:rPr>
        <w:t xml:space="preserve">0. How to read this document</w:t>
      </w:r>
    </w:p>
    <w:p>
      <w:pPr>
        <w:spacing w:after="90"/>
      </w:pPr>
      <w:r>
        <w:t xml:space="preserve">Every rule states who enforces it, which determines where it is implemented in the pipeline: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700"/>
        <w:gridCol w:w="874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  <w:tc>
          <w:tcPr>
            <w:tcW w:type="dxa" w:w="874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</w:t>
            </w:r>
          </w:p>
        </w:tc>
        <w:tc>
          <w:tcPr>
            <w:tcW w:type="dxa" w:w="87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Deterministic code. Implement as a validator/assertion that fails the build or blocks the record. No model judgment.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  <w:tc>
          <w:tcPr>
            <w:tcW w:type="dxa" w:w="87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Model extraction governed by the rulebook prompt. Verified by AUTO checks and sampled by QC.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HUMAN</w:t>
            </w:r>
          </w:p>
        </w:tc>
        <w:tc>
          <w:tcPr>
            <w:tcW w:type="dxa" w:w="87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Routed to the human QC gate. The model may propose, but a person decides. Never auto-approved.</w:t>
            </w:r>
          </w:p>
        </w:tc>
      </w:tr>
    </w:tbl>
    <w:p>
      <w:pPr>
        <w:spacing w:after="90"/>
      </w:pPr>
      <w:r>
        <w:rPr>
          <w:i/>
          <w:iCs/>
        </w:rPr>
        <w:t xml:space="preserve">Pipeline: Ingest &amp; pre-process → Classify &amp; segment → Extract → Assemble → Validate &amp; flag → Human QC gate → Finalize &amp; deliver. Rules in Section C drive Classify; Sections A/B/D drive Extract; Section F is the Validate stage; Section G is the QC gate.</w:t>
      </w:r>
    </w:p>
    <w:p>
      <w:pPr>
        <w:pStyle w:val="Heading1"/>
      </w:pPr>
      <w:r>
        <w:rPr>
          <w:b/>
          <w:bCs/>
        </w:rPr>
        <w:t xml:space="preserve">A. Global formatting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7580"/>
        <w:gridCol w:w="19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96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R1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Dates render MM/DD/YYYY. RECORDED = county recording-stamp date. DATED = execution date in the body or acknowledgment (a notary date on a signature page is the execution date, not the coversheet date).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 + 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R2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Names in Title Case, converted from ALL-CAPS. Middle initials and entity suffixes preserved exactly (LLC, F.S.B., N.A., Inc.).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R3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Money as $#,##0.00 — always two decimals and thousands separators.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R4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Any missing value is the literal string “Not Available”. Never blank, “N/A”, “None”, or $0.00 — unless the document itself states $0.00.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R5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BOOK/PAGE is filled only when the document shows a book &amp; page (or volume &amp; page). If only an instrument/document number appears → BOOK/PAGE: Not Available. INST# is copied exactly, including prefixes and suffixes (2020-015046-0, I-2024-002253, 20220180072).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 + 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R6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MIN = the 18-digit MERS number when present; otherwise Not Available. Keep the hyphenation form already used in the block.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R7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Geography (county/city/state) normalized to correct proper form: Sandiego → San Diego, Mcintosh → McIntosh.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R8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Counts are two-digit: #OF MTGS / #OF JUDGMENTS / #OF TAX LIENS / #OF E&amp;R ESTATES (01, 00).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R9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Section order is fixed: Header · Vesting Deed · Location (incl. Condo/PUD/Waterfront) · Assessment · Tax · Security Instrument · Assignment · Loan Modification · Additional Mortgage(s) · Judgments/Liens · Legal Description · Exceptions.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R10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 section appears only if a matching document exists. No open mortgage → the security block reads “NOTE: No Open Mortgage Found”. No judgments → omit the section; counts show 00. Never invent a document; never drop one that is present.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 + LLM</w:t>
            </w:r>
          </w:p>
        </w:tc>
      </w:tr>
    </w:tbl>
    <w:p>
      <w:pPr>
        <w:pStyle w:val="Heading1"/>
      </w:pPr>
      <w:r>
        <w:rPr>
          <w:b/>
          <w:bCs/>
        </w:rPr>
        <w:t xml:space="preserve">B. OCR / source fidelity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7580"/>
        <w:gridCol w:w="19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96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R11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The rasterized IMAGE is the source of truth. Extraction is vision-first. If OCR text and the image disagree, the image wins. (Do not build extraction on the OCR text layer.)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R12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OCR artifacts (dropped/duplicated/fused letters, split words, mangled punctuation) are corrected silently to match the image. “TRNANTS IN COMMON” → “tenants in common”.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R13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Content actually recorded on the instrument — misspellings and name variants — is preserved verbatim and flagged. Applies to all names in the vesting chain and the entire Legal Description (Title Case for capitalization only, never re-spelled).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 + HUMAN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R14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Numeric fields (INST#, MIN, amounts, dates, parcel/tax IDs) are verified character-by-character against the image. OCR swaps 0/O, 1/l/I, 5/S, 8/B; one wrong digit invalidates the instrument.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 + AUTO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R15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Illegible or ambiguous: type the best read and mark Not Available or [illegible — verify], and flag. Never invent a clean value.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 + HUMAN</w:t>
            </w:r>
          </w:p>
        </w:tc>
      </w:tr>
    </w:tbl>
    <w:p>
      <w:pPr>
        <w:pStyle w:val="Heading1"/>
      </w:pPr>
      <w:r>
        <w:rPr>
          <w:b/>
          <w:bCs/>
        </w:rPr>
        <w:t xml:space="preserve">C. Page capture (read-set)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7580"/>
        <w:gridCol w:w="19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96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R16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Capture only the key page(s) of each instrument that feeds a report block — typically 20–25% of the package (~6 on a clean file, ~38 on a heavily encumbered or full-chain file). Full-resolution vision runs on the read-set only.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R17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Locate the read-set using, in order: the index / run sheet (often gives per-instrument page counts), the recording-stamp block, and the “Page N of M” footer.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R18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Vesting deed: stamp/first page; add the signature page only if the execution date or vesting language is not on page 1; add Exhibit A only if the legal is separate.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R19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Security instrument: stamp/definitions page + signature page + Exhibit A legal — about 3 pages. The uniform-covenant body (often 14–17 pages) is NEVER captured.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R20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One page per assignment, judgment, UCC, tax lien, and exception. Loan modification: stamp page + borrower/lender signature page.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R21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Comment-referenced instruments still get one recording-stamp page each as evidence (e.g., Substitute-Trustee appointments, a default-judgment order) — one page, not the full document.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R22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Never capture: covenant bodies, plat/survey sheets, title-plant dumps, recorder/UCC index lists, or “No records found” screenshots. These are text-mined for cross-check only.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</w:tbl>
    <w:p>
      <w:pPr>
        <w:pStyle w:val="Heading1"/>
      </w:pPr>
      <w:r>
        <w:rPr>
          <w:b/>
          <w:bCs/>
        </w:rPr>
        <w:t xml:space="preserve">D. Field rules by section</w:t>
      </w:r>
    </w:p>
    <w:p>
      <w:pPr>
        <w:pStyle w:val="Heading2"/>
      </w:pPr>
      <w:r>
        <w:rPr>
          <w:b/>
          <w:bCs/>
          <w:color w:val="1F3864"/>
        </w:rPr>
        <w:t xml:space="preserve">D.1 Header, Location, Assessment, Tax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7580"/>
        <w:gridCol w:w="19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96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R23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Header: ORDER # (from the order/run sheet — an instrument number is not the order) · VENDOR 66805 · SEARCH DATE · EFFECTIVE DATE (GTD date).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R24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Location: LOCATION · CITY/TWP/BORO · COUNTY/PARISH · ZIP CODE.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R25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Condo/PUD/Waterfront are sourced from recorded documents (Declaration, Master Deed, CC&amp;Rs, plat, deed legal) — never the assessor alone. CONDO: YES · CONDO NAME · DECLARATION BK/PG or INST# · RECORDED; else CONDO: NO. PUD: YES only when recorded documents specifically identify a PUD — never assume from a subdivision.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 + HUMAN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R26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WATERFRONT: YES only when the legal states the parcel borders water, the plat shows the lot abutting water, or the deed describes riparian/littoral rights. NO when merely inside a waterfront-named subdivision or the only evidence is a marketing name. Unclear → “NO / NOT DETERMINED” + comment that waterfront status was not assumed.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HUMAN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R27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Assessment: report exactly as shown. A separate accessory/improvement value is INCLUDED IN BUILDING so LAND + BUILDING = TOTAL. If only a TOTAL is provided → LAND and BUILDING = Not Available (never $0.00).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 + 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R28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The assessment year equals the tax year reported, even when a newer roll exists.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R29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Tax: use the taxing authority's format (Annual, 1st/2nd Installment, or 1st/2nd Half), ONE ROW PER installment/half. Columns: TAX ID | TAX TYPE | YEAR | OPEN | PAID | DELINQ | AMOUNT | DUE DATE.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R30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Billed but not delinquent → OPEN: Yes / PAID: No / DELINQ: No. PAID: Yes when paid. DELINQ: Yes only when actually past due.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R31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If the current tax year is not yet posted, report the most recent available year and add a note that the current year is not yet available online.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</w:tbl>
    <w:p>
      <w:pPr>
        <w:pStyle w:val="Heading2"/>
      </w:pPr>
      <w:r>
        <w:rPr>
          <w:b/>
          <w:bCs/>
          <w:color w:val="1F3864"/>
        </w:rPr>
        <w:t xml:space="preserve">D.2 Vesting deed and consideration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7580"/>
        <w:gridCol w:w="19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96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R32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Vesting deed fields: DEED TYPE (exact title incl. parenthetical) · GRANTOR · GRANTOR VESTING · GRANTEE · GRANTEE VESTING · DATED · RECORDED · BOOK/PAGE · INST# · CONS.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R33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Vesting split — the name field holds the conveying party, the vesting field holds capacity/tenancy. Fiduciary: GRANTOR = person, VESTING = “as Administrator of the Estate of …, deceased”. Government: entity in GRANTOR, VESTING blank/Not Available. Trust: named trustees only in the name field, trust + ownership language in VESTING — never the whole recital in the name field. Homestead-waiver spouse: only the actual grantor(s) in GRANTOR; the waiver language goes in a COMMENT, never in VESTING.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 + HUMAN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R34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CONSIDERATION reliability hierarchy: (1) consideration expressly stated in the deed — report whenever present; (2) consideration-based recorded transfer/excise/conveyance tax, and a recorded Consideration Certificate/Affidavit — use when the deed omits the amount, or to confirm it; ranks ABOVE the assessor because it is part of the recorded instrument; (3) assessor/recorder sale price — secondary only; (4) MLS/third-party — reference only if required.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 + HUMAN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R35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GA INTANGIBLE RECORDING TAX IS NEVER A CONSIDERATION SOURCE — it is computed from the loan amount secured and only verifies the mortgage amount. Usable consideration-based taxes: NC Excise ($1.00 per $500 = 0.2%), GA Real Estate Transfer Tax, KY Transfer Tax, CT Conveyance Tax. Never derive consideration from a tax unrelated to purchase price.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 + LLM</w:t>
            </w:r>
          </w:p>
        </w:tc>
      </w:tr>
    </w:tbl>
    <w:p>
      <w:pPr>
        <w:pStyle w:val="Heading2"/>
      </w:pPr>
      <w:r>
        <w:rPr>
          <w:b/>
          <w:bCs/>
          <w:color w:val="1F3864"/>
        </w:rPr>
        <w:t xml:space="preserve">D.3 Security instruments, assignments, modifications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7580"/>
        <w:gridCol w:w="19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96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R36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Security block fields: MORTGAGOR (with vesting) · ENTITY TYPE · NON-PERSON NAME (without vesting) · MORTGAGEE · TRUSTEE · TRUSTEE ADDRESS · DATED · RECORDED · BOOK/PAGE · AMOUNT · OPEN ENDED · MIN · INST# · MULTIPLE PARCELS COVERS ALL TRACTS. Header follows the instrument/state: Deed of Trust · Mortgage · Deed to Secure Debt · Open-End Mortgage Deed.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R37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MERS as beneficiary → MORTGAGEE = “Mortgage Electronic Registration Systems, Inc., as nominee for &lt;lender&gt;”. Non-MERS/private lender → the lender exactly as recorded, WITH NO MERS LINE.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R38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Open-End Mortgage / HELOC → OPEN ENDED: Yes; otherwise No. Report a maximum credit limit only if the client requires it.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R39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 satisfied/reconveyed prior mortgage is EXCLUDED from the report; note the satisfaction in a COMMENT with its release instrument.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R40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An Appointment of Substitute Trustee is reported as a COMMENT on the security block, never as its own security block.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R41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One block per recorded assignment, in chain order. LAST ASSIGNED TO on the final report reflects the MOST RECENT recorded assignee. Assignment DATED = the execution/acknowledgment date, not the coversheet date.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 + 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R42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Loan Modification fields: MODIFICATION DATE · RECORDED · MODIFICATION AMOUNT (the new unpaid principal balance) · BOOK/PAGE · FROM (LENDER) · INST# · TO (BORROWER) · MIN.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</w:tbl>
    <w:p>
      <w:pPr>
        <w:pStyle w:val="Heading2"/>
      </w:pPr>
      <w:r>
        <w:rPr>
          <w:b/>
          <w:bCs/>
          <w:color w:val="1F3864"/>
        </w:rPr>
        <w:t xml:space="preserve">D.4 Judgments, liens, and court matters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7580"/>
        <w:gridCol w:w="19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96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R43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Judgment/lien fields: TYPE · PLAINTIFF · FILED · DEFENDANT · RECORDED · BOOK/PAGE · INST# · PLAINTIFF ATTORNEY · PHONE# · ADDRESS · AMOUNT · CASE NO. For a UCC: PLAINTIFF = Secured Party, DEFENDANT = Debtor, CASE NO = Not Available. Tax lien: taxing authority as plaintiff.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R44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PARTY IDENTITY — report a judgment/lien/UCC/court record only when available information reasonably confirms it belongs to a party in the searched chain of title (the current owner OR a prior owner within the search scope). Confirm on property/mailing address, middle name/initial, DOB, co-owner, or other reliable identifier.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HUMAN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R45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If identity CANNOT be confirmed: EXCLUDE the record, add a “Verification Required” note, and keep the record count at 00. (Judgment under “John A. Smith” vs owner “John B. Smith” with no matching identifier → exclude, note, 00.)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HUMAN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R46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PRIOR-OWNER LIENS — report only live encumbrances. Do not report every lien ever filed against a chain party. Search per the required scope → check for a recorded release/satisfaction/discharge/cancellation (released → report as released, or omit per client instruction) → consider extinguishment by foreclosure, expiration, or statutory lapse → report only matters that remain a POTENTIAL ENCUMBRANCE on the property.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HUMAN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R47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“No records found” searches create NO block — document a brief cleared-search note; counts stay 00.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R48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NON-MONETARY COURT MATTERS (probate, guardianship, protective proceedings, divorce, lis pendens, dismissed foreclosure) are NEVER reported as judgments/liens unless the client or scope requires. If relevant, reference in an internal or client note only.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 + HUMAN</w:t>
            </w:r>
          </w:p>
        </w:tc>
      </w:tr>
    </w:tbl>
    <w:p>
      <w:pPr>
        <w:pStyle w:val="Heading2"/>
      </w:pPr>
      <w:r>
        <w:rPr>
          <w:b/>
          <w:bCs/>
          <w:color w:val="1F3864"/>
        </w:rPr>
        <w:t xml:space="preserve">D.5 Legal description, exceptions, worksheet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7580"/>
        <w:gridCol w:w="19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96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R49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Legal Description transcribed VERBATIM from the deed / Exhibit A / legal page (preserve source spelling; correct only OCR misreads against the image).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R50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The 30-day notice paragraph appears after the Legal Description AND after the Exceptions section, in the standard wording.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R51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Exceptions: POA, easement/right-of-way, scrivener's/corrective affidavit, restrictions/CC&amp;Rs, declarations. Compact one-liner or full block (TYPE · FROM · RECORDED · TO · BOOK/PAGE · INST# · COMMENTS). For a POA: FROM = the principal, TO = the attorney-in-fact.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R52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The prior-deed chain and the disclosure/checklist lines are WORKSHEET-ONLY and never appear in the client Typed Report. Chain listed newest → oldest; type only deeds present as images.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R53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CHAIN DEPTH is set by the search specification, NOT by the chain flag. “COPIES OF CHAINS = YES” dictates which documents are provided, not how far back to search. Depth order: (1) client's written search instructions (“Search Completed from Developer Deed” → run to the developer's conveyance into the subdivision); (2) required search period (30/40 years, marketable title, current owner + one prior); (3) state/product requirement (root of title); (4) chain integrity — extend only if broken or ownership derives from probate/trust/divorce. Never run to the developer merely because chains are included.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HUMAN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R54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 long chain does not change report content: the client report shows only the current vesting deed; priors stay on the worksheet unless the client's instructions, report template, or product require a full chain. Search depth ≠ report content.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</w:t>
            </w:r>
          </w:p>
        </w:tc>
      </w:tr>
    </w:tbl>
    <w:p>
      <w:pPr>
        <w:pStyle w:val="Heading1"/>
      </w:pPr>
      <w:r>
        <w:rPr>
          <w:b/>
          <w:bCs/>
        </w:rPr>
        <w:t xml:space="preserve">E. Sources and images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7580"/>
        <w:gridCol w:w="19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96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R55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 title-plant run sheet is an INDEX, not the recorded instrument — never a typing source. Imaged instrument → type from the recorded document. Run-sheet entry with no image → create NO typed entry; flag “Verify / Request Image”. Image received later → update from the actual instrument.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 + HUMAN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R56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Multi-parcel run sheets: report only entries clearly pertaining to the subject APN / legal description; disregard other parcels. Exception: type from a run sheet only if the client's written instructions require it when images are unavailable — and then state the information is derived from the title plant/index and is unverified.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LLM + HUMAN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R57</w:t>
            </w:r>
          </w:p>
        </w:tc>
        <w:tc>
          <w:tcPr>
            <w:tcW w:type="dxa" w:w="75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IMAGES — working draft: caption placeholders only ([Insert screenshot – Vesting Deed]). Final production: every placeholder replaced with the corresponding document screenshot beneath its block, in block order. NEVER ship a placeholder in the final deliverable unless the image is unavailable — then note “Image unavailable – verify/request source document”.</w:t>
            </w:r>
          </w:p>
        </w:tc>
        <w:tc>
          <w:tcPr>
            <w:tcW w:type="dxa" w:w="1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AUTO + HUMAN</w:t>
            </w:r>
          </w:p>
        </w:tc>
      </w:tr>
    </w:tbl>
    <w:p>
      <w:pPr>
        <w:pStyle w:val="Heading1"/>
      </w:pPr>
      <w:r>
        <w:rPr>
          <w:b/>
          <w:bCs/>
        </w:rPr>
        <w:t xml:space="preserve">F. Automated validation assertions (Validate &amp; Flag stage)</w:t>
      </w:r>
    </w:p>
    <w:p>
      <w:pPr>
        <w:spacing w:after="90"/>
      </w:pPr>
      <w:r>
        <w:t xml:space="preserve">Implement each as a test that blocks delivery on failure.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6200"/>
        <w:gridCol w:w="334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2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Assertion</w:t>
            </w:r>
          </w:p>
        </w:tc>
        <w:tc>
          <w:tcPr>
            <w:tcW w:type="dxa" w:w="334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V1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Every date field matches ^\d{2}/\d{2}/\d{4}$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V2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Every money field matches ^\$[\d,]+\.\d{2}$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V3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Every empty field contains the literal “Not Available”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V4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For each instrument, BOOK/PAGE is populated OR equals “Not Available”, and INST# is non-empty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V5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Assessment year == Tax Information year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V6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If LAND, BUILDING and TOTAL are all numeric → LAND + BUILDING == TOTAL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V7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Counts line equals the number of rendered blocks of each type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V8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No section is rendered without a corresponding source instrument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V9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The 30-day notice appears after Legal Description and after Exceptions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V10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LAST ASSIGNED TO equals the assignee of the most recent assignment by recording date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V11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Final deliverable contains no image placeholder unless paired with an “Image unavailable” note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V12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CONS is never sourced from a GA Intangible Recording Tax value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V13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Every judgment/lien/UCC block carries a resolved party-identity decision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V14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Prior-deed chain and disclosure lines are absent from the client Typed Report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block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V15</w:t>
            </w:r>
          </w:p>
        </w:tc>
        <w:tc>
          <w:tcPr>
            <w:tcW w:type="dxa" w:w="6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Every numeric field carries a source page reference and confidence score</w:t>
            </w:r>
          </w:p>
        </w:tc>
        <w:tc>
          <w:tcPr>
            <w:tcW w:type="dxa" w:w="33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warn</w:t>
            </w:r>
          </w:p>
        </w:tc>
      </w:tr>
    </w:tbl>
    <w:p>
      <w:pPr>
        <w:pStyle w:val="Heading1"/>
      </w:pPr>
      <w:r>
        <w:rPr>
          <w:b/>
          <w:bCs/>
        </w:rPr>
        <w:t xml:space="preserve">G. Human QC gate — mandatory routing</w:t>
      </w:r>
    </w:p>
    <w:p>
      <w:pPr>
        <w:spacing w:after="90"/>
      </w:pPr>
      <w:r>
        <w:t xml:space="preserve">These never auto-approve. The model may propose a value; a person decides.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700"/>
        <w:gridCol w:w="484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7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84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Reviewer decides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F1</w:t>
            </w:r>
          </w:p>
        </w:tc>
        <w:tc>
          <w:tcPr>
            <w:tcW w:type="dxa" w:w="4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Same-name judgment/lien/UCC without a confirmed identifier</w:t>
            </w:r>
          </w:p>
        </w:tc>
        <w:tc>
          <w:tcPr>
            <w:tcW w:type="dxa" w:w="4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Include as chain party, or exclude + Verification Required + count 00 (R44/R45)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F2</w:t>
            </w:r>
          </w:p>
        </w:tc>
        <w:tc>
          <w:tcPr>
            <w:tcW w:type="dxa" w:w="4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Lien found against a prior owner with no recorded release located</w:t>
            </w:r>
          </w:p>
        </w:tc>
        <w:tc>
          <w:tcPr>
            <w:tcW w:type="dxa" w:w="4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Whether it remains a potential encumbrance (R46)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F3</w:t>
            </w:r>
          </w:p>
        </w:tc>
        <w:tc>
          <w:tcPr>
            <w:tcW w:type="dxa" w:w="4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Run-sheet entry with no imaged instrument</w:t>
            </w:r>
          </w:p>
        </w:tc>
        <w:tc>
          <w:tcPr>
            <w:tcW w:type="dxa" w:w="4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Request image / flag Verify (R55)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F4</w:t>
            </w:r>
          </w:p>
        </w:tc>
        <w:tc>
          <w:tcPr>
            <w:tcW w:type="dxa" w:w="4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Field marked illegible or low-confidence numeric</w:t>
            </w:r>
          </w:p>
        </w:tc>
        <w:tc>
          <w:tcPr>
            <w:tcW w:type="dxa" w:w="4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Correct read or Not Available (R15)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F5</w:t>
            </w:r>
          </w:p>
        </w:tc>
        <w:tc>
          <w:tcPr>
            <w:tcW w:type="dxa" w:w="4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Deed recital conflicts with a tax stamp, certificate, or assessor value</w:t>
            </w:r>
          </w:p>
        </w:tc>
        <w:tc>
          <w:tcPr>
            <w:tcW w:type="dxa" w:w="4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Which rank governs CONS (R34/R35)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F6</w:t>
            </w:r>
          </w:p>
        </w:tc>
        <w:tc>
          <w:tcPr>
            <w:tcW w:type="dxa" w:w="4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Waterfront status not clearly established by recorded evidence</w:t>
            </w:r>
          </w:p>
        </w:tc>
        <w:tc>
          <w:tcPr>
            <w:tcW w:type="dxa" w:w="4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NO / NOT DETERMINED + comment (R26)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F7</w:t>
            </w:r>
          </w:p>
        </w:tc>
        <w:tc>
          <w:tcPr>
            <w:tcW w:type="dxa" w:w="4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Required image unavailable at final production</w:t>
            </w:r>
          </w:p>
        </w:tc>
        <w:tc>
          <w:tcPr>
            <w:tcW w:type="dxa" w:w="4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Ship with the unavailable note, or hold (R57)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F8</w:t>
            </w:r>
          </w:p>
        </w:tc>
        <w:tc>
          <w:tcPr>
            <w:tcW w:type="dxa" w:w="4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Package is an Oklahoma order</w:t>
            </w:r>
          </w:p>
        </w:tc>
        <w:tc>
          <w:tcPr>
            <w:tcW w:type="dxa" w:w="4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Process generically; mark OK-specific issues Pending validation (P1)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F9</w:t>
            </w:r>
          </w:p>
        </w:tc>
        <w:tc>
          <w:tcPr>
            <w:tcW w:type="dxa" w:w="4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Name variant across the chain (e.g., V.M. Traylor Jr. / Vernon M. Traylor)</w:t>
            </w:r>
          </w:p>
        </w:tc>
        <w:tc>
          <w:tcPr>
            <w:tcW w:type="dxa" w:w="4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Whether variants are the same party (R13)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F10</w:t>
            </w:r>
          </w:p>
        </w:tc>
        <w:tc>
          <w:tcPr>
            <w:tcW w:type="dxa" w:w="4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Chain depth ambiguous or search instruction absent</w:t>
            </w:r>
          </w:p>
        </w:tc>
        <w:tc>
          <w:tcPr>
            <w:tcW w:type="dxa" w:w="4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Depth per R53</w:t>
            </w:r>
          </w:p>
        </w:tc>
      </w:tr>
    </w:tbl>
    <w:p>
      <w:pPr>
        <w:pStyle w:val="Heading1"/>
      </w:pPr>
      <w:r>
        <w:rPr>
          <w:b/>
          <w:bCs/>
        </w:rPr>
        <w:t xml:space="preserve">H. Pending validation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894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94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P1</w:t>
            </w:r>
          </w:p>
        </w:tc>
        <w:tc>
          <w:tcPr>
            <w:tcW w:type="dxa" w:w="89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OKLAHOMA — not yet validated. No worked package exists in the corpus. Do NOT create OK-specific rules from statutes or assumptions. Process using the generic instrument rules and mark any OK-specific issue — Mortgage vs. Mortgage Assignment presentation, VA loan assumption handling (separate reporting, borrower liability, interaction with later assignments/releases), and state recording conventions/terminology — as “Pending validation.” Add Oklahoma only after a complete package has been worked and confirmed.</w:t>
            </w:r>
          </w:p>
        </w:tc>
      </w:tr>
    </w:tbl>
    <w:p>
      <w:pPr>
        <w:pStyle w:val="Heading1"/>
      </w:pPr>
      <w:r>
        <w:rPr>
          <w:b/>
          <w:bCs/>
        </w:rPr>
        <w:t xml:space="preserve">Appendix 1 — State recording reference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1500"/>
        <w:gridCol w:w="2300"/>
        <w:gridCol w:w="2400"/>
        <w:gridCol w:w="274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 (county)</w:t>
            </w:r>
          </w:p>
        </w:tc>
        <w:tc>
          <w:tcPr>
            <w:tcW w:type="dxa" w:w="15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Book/Page</w:t>
            </w:r>
          </w:p>
        </w:tc>
        <w:tc>
          <w:tcPr>
            <w:tcW w:type="dxa" w:w="23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Instrument # format</w:t>
            </w:r>
          </w:p>
        </w:tc>
        <w:tc>
          <w:tcPr>
            <w:tcW w:type="dxa" w:w="24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Security header</w:t>
            </w:r>
          </w:p>
        </w:tc>
        <w:tc>
          <w:tcPr>
            <w:tcW w:type="dxa" w:w="274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Notable deed types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AK (Mat-Su, Anchorage)</w:t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No → Not Available</w:t>
            </w:r>
          </w:p>
        </w:tc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2020-015046-0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Deed of Trust</w:t>
            </w:r>
          </w:p>
        </w:tc>
        <w:tc>
          <w:tcPr>
            <w:tcW w:type="dxa" w:w="27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Statutory Warranty Deed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AZ (Maricopa)</w:t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No → Not Available</w:t>
            </w:r>
          </w:p>
        </w:tc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20220180072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Deed of Trust</w:t>
            </w:r>
          </w:p>
        </w:tc>
        <w:tc>
          <w:tcPr>
            <w:tcW w:type="dxa" w:w="27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Warranty Deed; Trustee's Deed Upon Sale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CA (San Diego)</w:t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No → Not Available</w:t>
            </w:r>
          </w:p>
        </w:tc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2020-0669929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Deed of Trust</w:t>
            </w:r>
          </w:p>
        </w:tc>
        <w:tc>
          <w:tcPr>
            <w:tcW w:type="dxa" w:w="27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Grant Deed; Quitclaim into trust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CT (Hartford)</w:t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Yes — Volume/Page</w:t>
            </w:r>
          </w:p>
        </w:tc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06157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Open-End Mortgage Deed</w:t>
            </w:r>
          </w:p>
        </w:tc>
        <w:tc>
          <w:tcPr>
            <w:tcW w:type="dxa" w:w="27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Special Warranty Deed; condos common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GA (Fulton, McIntosh)</w:t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2025-002687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Deed to Secure Debt</w:t>
            </w:r>
          </w:p>
        </w:tc>
        <w:tc>
          <w:tcPr>
            <w:tcW w:type="dxa" w:w="27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Administrator's Deed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KY (Fayette)</w:t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202510070028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Mortgage</w:t>
            </w:r>
          </w:p>
        </w:tc>
        <w:tc>
          <w:tcPr>
            <w:tcW w:type="dxa" w:w="27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Quitclaim; Deed &amp; Consideration Certificate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NC (Cabarrus, Mecklenburg)</w:t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22764 / 2003125858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Deed of Trust</w:t>
            </w:r>
          </w:p>
        </w:tc>
        <w:tc>
          <w:tcPr>
            <w:tcW w:type="dxa" w:w="27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General Warranty Deed (excise tax on face)</w:t>
            </w:r>
          </w:p>
        </w:tc>
      </w:tr>
    </w:tbl>
    <w:p>
      <w:pPr>
        <w:pStyle w:val="Heading1"/>
      </w:pPr>
      <w:r>
        <w:rPr>
          <w:b/>
          <w:bCs/>
        </w:rPr>
        <w:t xml:space="preserve">Appendix 2 — Reference corpus (rules derived from worked packages)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2000"/>
        <w:gridCol w:w="1300"/>
        <w:gridCol w:w="1300"/>
        <w:gridCol w:w="364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0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3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13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Captured</w:t>
            </w:r>
          </w:p>
        </w:tc>
        <w:tc>
          <w:tcPr>
            <w:tcW w:type="dxa" w:w="364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Contributed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CSSKY-640347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KY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~25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~6</w:t>
            </w:r>
          </w:p>
        </w:tc>
        <w:tc>
          <w:tcPr>
            <w:tcW w:type="dxa" w:w="36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Consideration certificate; no open mortgage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4167944-1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CT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~30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~8</w:t>
            </w:r>
          </w:p>
        </w:tc>
        <w:tc>
          <w:tcPr>
            <w:tcW w:type="dxa" w:w="36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Open-end mortgage; condo; index page counts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DL-26-2219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GA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~20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~8</w:t>
            </w:r>
          </w:p>
        </w:tc>
        <w:tc>
          <w:tcPr>
            <w:tcW w:type="dxa" w:w="36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Administrator's deed; Deed to Secure Debt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4166027-1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CA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~21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~9</w:t>
            </w:r>
          </w:p>
        </w:tc>
        <w:tc>
          <w:tcPr>
            <w:tcW w:type="dxa" w:w="36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Trust vesting; multiple assignments; plant run sheet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4176034-1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AK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~45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~7</w:t>
            </w:r>
          </w:p>
        </w:tc>
        <w:tc>
          <w:tcPr>
            <w:tcW w:type="dxa" w:w="36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Homestead waiver; MERS DOT; reconveyed prior lien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3913323-01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AK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~59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~10</w:t>
            </w:r>
          </w:p>
        </w:tc>
        <w:tc>
          <w:tcPr>
            <w:tcW w:type="dxa" w:w="36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One-page-per-block capture model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4114194-1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NC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~115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~27</w:t>
            </w:r>
          </w:p>
        </w:tc>
        <w:tc>
          <w:tcPr>
            <w:tcW w:type="dxa" w:w="36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Encumbrance-driven capture; comment-referenced pages; excise tax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3228428-1</w:t>
            </w:r>
          </w:p>
        </w:tc>
        <w:tc>
          <w:tcPr>
            <w:tcW w:type="dxa" w:w="2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AZ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~184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~38</w:t>
            </w:r>
          </w:p>
        </w:tc>
        <w:tc>
          <w:tcPr>
            <w:tcW w:type="dxa" w:w="36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Chain depth; prior-owner liens; 1st/2nd half tax; only-total assessment</w:t>
            </w:r>
          </w:p>
        </w:tc>
      </w:tr>
    </w:tbl>
    <w:p>
      <w:pPr>
        <w:spacing w:after="90"/>
      </w:pPr>
      <w:r>
        <w:rPr>
          <w:i/>
          <w:iCs/>
        </w:rPr>
        <w:t xml:space="preserve">Capture ratio holds at ~20–25% of package size regardless of shape — the read-set scales with instrument count (encumbrances and chain depth), not page count.</w:t>
      </w:r>
    </w:p>
    <w:p>
      <w:pPr>
        <w:pStyle w:val="Heading1"/>
      </w:pPr>
      <w:r>
        <w:rPr>
          <w:b/>
          <w:bCs/>
        </w:rPr>
        <w:t xml:space="preserve">Appendix 3 — Cost model (2,000–2,500 orders/month)</w:t>
      </w:r>
    </w:p>
    <w:tbl>
      <w:tblPr>
        <w:tblW w:type="dxa" w:w="104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000"/>
        <w:gridCol w:w="2480"/>
        <w:gridCol w:w="2480"/>
        <w:gridCol w:w="248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24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Vision pages</w:t>
            </w:r>
          </w:p>
        </w:tc>
        <w:tc>
          <w:tcPr>
            <w:tcW w:type="dxa" w:w="24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 package</w:t>
            </w:r>
          </w:p>
        </w:tc>
        <w:tc>
          <w:tcPr>
            <w:tcW w:type="dxa" w:w="2480"/>
            <w:shd w:fill="1F3864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Monthly @2,500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Read all pages</w:t>
            </w:r>
          </w:p>
        </w:tc>
        <w:tc>
          <w:tcPr>
            <w:tcW w:type="dxa" w:w="24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~150</w:t>
            </w:r>
          </w:p>
        </w:tc>
        <w:tc>
          <w:tcPr>
            <w:tcW w:type="dxa" w:w="24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~$1.57</w:t>
            </w:r>
          </w:p>
        </w:tc>
        <w:tc>
          <w:tcPr>
            <w:tcW w:type="dxa" w:w="24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~$3,925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Read-set capture + OCR all</w:t>
            </w:r>
          </w:p>
        </w:tc>
        <w:tc>
          <w:tcPr>
            <w:tcW w:type="dxa" w:w="24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~8–38</w:t>
            </w:r>
          </w:p>
        </w:tc>
        <w:tc>
          <w:tcPr>
            <w:tcW w:type="dxa" w:w="24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~$0.46</w:t>
            </w:r>
          </w:p>
        </w:tc>
        <w:tc>
          <w:tcPr>
            <w:tcW w:type="dxa" w:w="24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~$1,150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Read-set capture + selective OCR + batch</w:t>
            </w:r>
          </w:p>
        </w:tc>
        <w:tc>
          <w:tcPr>
            <w:tcW w:type="dxa" w:w="24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~8–38</w:t>
            </w:r>
          </w:p>
        </w:tc>
        <w:tc>
          <w:tcPr>
            <w:tcW w:type="dxa" w:w="24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~$0.17–0.24</w:t>
            </w:r>
          </w:p>
        </w:tc>
        <w:tc>
          <w:tcPr>
            <w:tcW w:type="dxa" w:w="248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b w:val="false"/>
                <w:bCs w:val="false"/>
                <w:color w:val="auto"/>
                <w:sz w:val="18"/>
                <w:szCs w:val="18"/>
              </w:rPr>
              <w:t xml:space="preserve">~$425</w:t>
            </w:r>
          </w:p>
        </w:tc>
      </w:tr>
    </w:tbl>
    <w:p>
      <w:pPr>
        <w:spacing w:after="90"/>
      </w:pPr>
      <w:r>
        <w:rPr>
          <w:i/>
          <w:iCs/>
        </w:rPr>
        <w:t xml:space="preserve">Levers in order: capture only the read-set (R16–R22) → selective OCR → Batch API (−50%) → prompt caching (−90% on the repeated rulebook prompt) → model routing (cheap model for triage/text-mine, stronger model for captured instruments). Never reduce resolution on legal-weight fields (INST#, MIN, amounts, dates, legal description).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90" w:before="20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50" w:before="150"/>
    </w:pPr>
    <w:rPr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2026-07-23T14:02:38.947Z</dcterms:created>
  <dcterms:modified xsi:type="dcterms:W3CDTF">2026-07-23T14:02:38.963Z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