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Golden Rules — Non-Negotiable</w:t>
      </w:r>
    </w:p>
    <w:p>
      <w:pPr>
        <w:spacing w:after="100"/>
      </w:pPr>
      <w:r>
        <w:rPr>
          <w:i/>
          <w:iCs/>
          <w:color w:val="555555"/>
        </w:rPr>
        <w:t xml:space="preserve">Vendor 66805 · Abstractor Report Typing · Keep at the desk</w:t>
      </w:r>
    </w:p>
    <w:tbl>
      <w:tblPr>
        <w:tblW w:type="dxa" w:w="1008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700"/>
        <w:gridCol w:w="938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9380"/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The IMAGE is the source of truth. Type from the page image, never from OCR text. If they disagree, the image wins.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2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Verify every number character-by-character: INST#, MIN, amounts, dates, parcel/tax IDs. One wrong digit breaks the instrument.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3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Never invent a document. Never drop one that is present. A section appears only if its instrument exists.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4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Dates MM/DD/YYYY · Names Title Case · Money $0,000.00 · Missing value = the exact words “Not Available.”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5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Book/Page only when the document shows one; otherwise BOOK/PAGE: Not Available. Copy Inst# exactly, including prefixes and suffixes.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6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Preserve recorded misspellings and name variants verbatim in names and legal descriptions. Normalize only geography casing.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7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Party identity: report a judgment/lien/UCC only when reasonably confirmed to a chain party (current OR prior owner). If unconfirmed — exclude it, add a Verification Required note, count 00.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8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Non-monetary court matters (probate, guardianship, protective, divorce, lis pendens, dismissed foreclosure) are never judgments/liens — internal or client note only.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9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Assessment: accessory value goes into BUILDING so LAND + BUILDING = TOTAL. Only-total → LAND/BUILDING Not Available (never $0.00). Assessment year = tax year reported.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10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Tax: authority's format, one row per installment/half. Billed but not delinquent → OPEN Yes / PAID No / DELINQ No. Unposted year → most recent year + note.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11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Consideration: the deed's stated amount first → then a consideration-based transfer/excise/conveyance tax or recorded certificate → then assessor sale price. NEVER use GA Intangible Recording Tax (it is loan-based).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12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Vesting split: name field = the party; vesting field = capacity/tenancy. Trust → trustees in the name field, trust language in vesting. Homestead-waiver spouse → COMMENT, never vesting.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13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One block per recorded assignment; LAST ASSIGNED TO = the most recent recorded assignee. Substitute Trustee → comment, not a block.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14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Non-MERS lender → the lender exactly as recorded, with no MERS line. Open-End/HELOC → OPEN ENDED: Yes.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15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Prior-deed chain: worksheet only, never in the client report. Newest to oldest. Never extend beyond the imaged deeds.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16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Waterfront/PUD/Condo only on recorded evidence — never assume from a subdivision or marketing name. Unclear waterfront → NO / NOT DETERMINED + comment.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17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The 30-day notice paragraph follows the Legal Description and the Exceptions section.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18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Capture only the read-set: the key page of each instrument (typically 20–25% of the package). Never capture covenant bodies, plat maps, plant dumps, or “No records” screenshots.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19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Never type from a title-plant run sheet — it is an index, not the recorded instrument. Run-sheet entry with no image → flag “Verify / Request Image.” Multi-parcel sheets → subject APN only.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20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Images: placeholders while drafting, real screenshots in the final deliverable. Never ship a placeholder unless the image is unavailable — then note “Image unavailable – verify/request source document.”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21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Prior-owner liens: report only what remains a potential encumbrance. Check for a recorded release/satisfaction first — not every lien ever filed against a chain party.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22</w:t>
            </w:r>
          </w:p>
        </w:tc>
        <w:tc>
          <w:tcPr>
            <w:tcW w:type="dxa" w:w="93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auto"/>
              </w:rPr>
              <w:t xml:space="preserve">Chain depth follows the search specification, not the chain flag. “Copies of Chain = YES” says which documents to provide, not how far back to search.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50" w:before="160"/>
    </w:pPr>
    <w:rPr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2026-07-23T13:53:27.387Z</dcterms:created>
  <dcterms:modified xsi:type="dcterms:W3CDTF">2026-07-23T13:53:27.387Z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