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3.jpg"/>
            <a:graphic>
              <a:graphicData uri="http://schemas.openxmlformats.org/drawingml/2006/picture">
                <pic:pic>
                  <pic:nvPicPr>
                    <pic:cNvPr descr="Placeholder image" id="0" name="image3.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Lorem</w:t>
      </w:r>
      <w:r w:rsidDel="00000000" w:rsidR="00000000" w:rsidRPr="00000000">
        <w:rPr>
          <w:rtl w:val="0"/>
        </w:rPr>
        <w:t xml:space="preserve"> ipsum</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1.png"/>
          <a:graphic>
            <a:graphicData uri="http://schemas.openxmlformats.org/drawingml/2006/picture">
              <pic:pic>
                <pic:nvPicPr>
                  <pic:cNvPr descr="geometric_corner.png"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