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FoodHub — Business Requirements Document</w:t>
      </w:r>
    </w:p>
    <w:p>
      <w:pPr>
        <w:pStyle w:val="Subtitle"/>
      </w:pPr>
      <w:r>
        <w:t xml:space="preserve">NYC food-delivery aggregator platform · v1.0 · Engineering Plan input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Project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FoodHub — NYC Food Delivery Aggregator Platform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Document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Business Requirements Document (BRD)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Owner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Engineering Manager, FoodHub Product Team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Draft — for Engineering Plan generation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2026-05-17</w:t>
            </w:r>
          </w:p>
        </w:tc>
      </w:tr>
    </w:tbl>
    <w:p>
      <w:pPr>
        <w:pStyle w:val="Heading1"/>
      </w:pPr>
      <w:r>
        <w:t xml:space="preserve">1. Project Overview</w:t>
      </w:r>
    </w:p>
    <w:p>
      <w:r>
        <w:t xml:space="preserve">FoodHub is a food-aggregator platform that connects New York City customers with local restaurants and a managed network of delivery couriers through a single smartphone application and complementary web experience. The platform mediates the full order lifecycle: discovery, order placement, restaurant confirmation, courier assignment, real-time tracking, delivery, payment settlement and rating.</w:t>
      </w:r>
    </w:p>
    <w:p>
      <w:r>
        <w:t xml:space="preserve">Analysis of historical order data (1,898 orders, 9 attributes) shows that current operations rely on offline coordination between restaurants and freelance couriers. This BRD defines the requirements for the first production release of the FoodHub platform.</w:t>
      </w:r>
    </w:p>
    <w:p>
      <w:pPr>
        <w:pStyle w:val="Heading1"/>
      </w:pPr>
      <w:r>
        <w:t xml:space="preserve">2. Objectives</w:t>
      </w:r>
    </w:p>
    <w:p>
      <w:r>
        <w:t xml:space="preserve">FoodHub must deliver the following measurable business and product objectives in its initial release:</w:t>
      </w:r>
    </w:p>
    <w:p>
      <w:pPr>
        <w:pStyle w:val="ListParagraph"/>
        <w:numPr>
          <w:ilvl w:val="0"/>
          <w:numId w:val="2"/>
        </w:numPr>
      </w:pPr>
      <w:r>
        <w:t xml:space="preserve">Capture at least 8% of the addressable NYC online food-delivery market within 12 months of launch, measured by completed orders per month.</w:t>
      </w:r>
    </w:p>
    <w:p>
      <w:pPr>
        <w:pStyle w:val="ListParagraph"/>
        <w:numPr>
          <w:ilvl w:val="0"/>
          <w:numId w:val="2"/>
        </w:numPr>
      </w:pPr>
      <w:r>
        <w:t xml:space="preserve">Increase repeat-order rate to 45% (orders placed by a customer with at least one prior order in the trailing 60 days) by month 9.</w:t>
      </w:r>
    </w:p>
    <w:p>
      <w:pPr>
        <w:pStyle w:val="ListParagraph"/>
        <w:numPr>
          <w:ilvl w:val="0"/>
          <w:numId w:val="2"/>
        </w:numPr>
      </w:pPr>
      <w:r>
        <w:t xml:space="preserve">Maintain median end-to-end delivery time (order placement → drop-off confirmation) at or below 38 minutes, including peak weekend windows.</w:t>
      </w:r>
    </w:p>
    <w:p>
      <w:pPr>
        <w:pStyle w:val="ListParagraph"/>
        <w:numPr>
          <w:ilvl w:val="0"/>
          <w:numId w:val="2"/>
        </w:numPr>
      </w:pPr>
      <w:r>
        <w:t xml:space="preserve">Achieve average customer rating ≥ 4.3 / 5 across both restaurant and delivery dimensions by month 6.</w:t>
      </w:r>
    </w:p>
    <w:p>
      <w:pPr>
        <w:pStyle w:val="ListParagraph"/>
        <w:numPr>
          <w:ilvl w:val="0"/>
          <w:numId w:val="2"/>
        </w:numPr>
      </w:pPr>
      <w:r>
        <w:t xml:space="preserve">Generate gross marketplace revenue of $14M in the first 12 months at a blended take-rate of 18–22%.</w:t>
      </w:r>
    </w:p>
    <w:p>
      <w:pPr>
        <w:pStyle w:val="Heading1"/>
      </w:pPr>
      <w:r>
        <w:t xml:space="preserve">3. Functional Requirements</w:t>
      </w:r>
    </w:p>
    <w:p>
      <w:r>
        <w:t xml:space="preserve">The following functional requirements describe what the FoodHub platform must do. Each requirement is uniquely identified (FR-N) and traceable to one or more business objectives.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460"/>
        <w:gridCol w:w="1000"/>
      </w:tblGrid>
      <w:tr>
        <w:tc>
          <w:tcPr>
            <w:tcW w:type="dxa" w:w="90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4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FR-1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platform shall enable customers to browse restaurants by cuisine, price, ratings and delivery time, and place orders through a mobile and web application.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FR-2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platform shall provide restaurants with a partner portal to manage menus, accept or reject orders, update preparation times and adjust availability in real time.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FR-3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platform shall assign each confirmed order to the best-fit delivery person using proximity, vehicle type and current load, and notify them via the driver application.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FR-4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system shall provide real-time order tracking from pickup to drop-off, including ETA updates, route changes and proof-of-delivery capture in the customer app.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FR-5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platform shall calculate and disburse restaurant payouts (order value minus the FoodHub margin) and driver earnings on a configurable schedule, with itemised statements.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FR-6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application shall collect post-delivery ratings (1–5) and free-text reviews for both restaurants and delivery experience, and surface aggregate scores in browse results.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</w:tbl>
    <w:p>
      <w:pPr>
        <w:pStyle w:val="Heading1"/>
      </w:pPr>
      <w:r>
        <w:t xml:space="preserve">4. Non-Functional Requirements</w:t>
      </w:r>
    </w:p>
    <w:p>
      <w:r>
        <w:t xml:space="preserve">The following non-functional requirements describe quality attributes the platform shall satisfy. Each requirement is uniquely identified (NFR-N).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460"/>
        <w:gridCol w:w="1000"/>
      </w:tblGrid>
      <w:tr>
        <w:tc>
          <w:tcPr>
            <w:tcW w:type="dxa" w:w="90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4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NFR-1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system shall sustain 500 orders per minute at peak (Friday/Saturday 6–9 pm) with order-placement p95 latency under 800 ms.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NFR-2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platform shall provide 99.9% monthly availability for order placement and tracking, with graceful degradation for non-critical features (ratings, browse history).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NFR-3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All customer PII and payment data shall be encrypted in transit (TLS 1.2+) and at rest (AES-256), and the system shall be PCI-DSS SAQ-A and SOC 2 Type II compliant within 12 months of launch.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NFR-4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mobile applications (iOS and Android) shall maintain a crash-free session rate ≥ 99.5% and a cold-start time under 2.5 seconds on devices released within the last four years.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</w:tbl>
    <w:p>
      <w:pPr>
        <w:pStyle w:val="Heading1"/>
      </w:pPr>
      <w:r>
        <w:t xml:space="preserve">5. Constraints</w:t>
      </w:r>
    </w:p>
    <w:p>
      <w:r>
        <w:t xml:space="preserve">The engineering plan must respect the following constraints. They bound the solution space for architecture, scheduling and tech-stack decisions:</w:t>
      </w:r>
    </w:p>
    <w:p>
      <w:pPr>
        <w:pStyle w:val="ListParagraph"/>
        <w:numPr>
          <w:ilvl w:val="0"/>
          <w:numId w:val="2"/>
        </w:numPr>
      </w:pPr>
      <w:r>
        <w:t xml:space="preserve">Budget — total engineering build budget capped at $1.6M for the first 12 months, inclusive of infrastructure, third-party services (payments, mapping, SMS) and contractor spend.</w:t>
      </w:r>
    </w:p>
    <w:p>
      <w:pPr>
        <w:pStyle w:val="ListParagraph"/>
        <w:numPr>
          <w:ilvl w:val="0"/>
          <w:numId w:val="2"/>
        </w:numPr>
      </w:pPr>
      <w:r>
        <w:t xml:space="preserve">Timeline — first production launch in 6 months (24 weeks from kickoff), with a public beta in NYC by month 4. The launch date is fixed because it aligns to a marketing campaign already booked.</w:t>
      </w:r>
    </w:p>
    <w:p>
      <w:pPr>
        <w:pStyle w:val="ListParagraph"/>
        <w:numPr>
          <w:ilvl w:val="0"/>
          <w:numId w:val="2"/>
        </w:numPr>
      </w:pPr>
      <w:r>
        <w:t xml:space="preserve">Compliance — PCI-DSS SAQ-A scope for payment handling (use a tokenising payment provider; do not store raw PAN data), and full SOC 2 Type II audit within 12 months of launch.</w:t>
      </w:r>
    </w:p>
    <w:p>
      <w:pPr>
        <w:pStyle w:val="ListParagraph"/>
        <w:numPr>
          <w:ilvl w:val="0"/>
          <w:numId w:val="2"/>
        </w:numPr>
      </w:pPr>
      <w:r>
        <w:t xml:space="preserve">Team and technology — engineering team capped at 14 FTE across backend, mobile, web and SRE; core stack must remain on a single cloud provider (AWS preferred) for unified observability, IAM and procurement.</w:t>
      </w:r>
    </w:p>
    <w:p>
      <w:pPr>
        <w:pStyle w:val="Heading1"/>
      </w:pPr>
      <w:r>
        <w:t xml:space="preserve">6. Stakeholders</w:t>
      </w:r>
    </w:p>
    <w:p>
      <w:pPr>
        <w:pStyle w:val="ListParagraph"/>
        <w:numPr>
          <w:ilvl w:val="0"/>
          <w:numId w:val="2"/>
        </w:numPr>
      </w:pPr>
      <w:r>
        <w:t xml:space="preserve">Engineering Manager (sponsor) — owns engineering delivery and approves the engineering plan.</w:t>
      </w:r>
    </w:p>
    <w:p>
      <w:pPr>
        <w:pStyle w:val="ListParagraph"/>
        <w:numPr>
          <w:ilvl w:val="0"/>
          <w:numId w:val="2"/>
        </w:numPr>
      </w:pPr>
      <w:r>
        <w:t xml:space="preserve">Product Manager — owns the customer- and restaurant-facing requirements and acceptance criteria.</w:t>
      </w:r>
    </w:p>
    <w:p>
      <w:pPr>
        <w:pStyle w:val="ListParagraph"/>
        <w:numPr>
          <w:ilvl w:val="0"/>
          <w:numId w:val="2"/>
        </w:numPr>
      </w:pPr>
      <w:r>
        <w:t xml:space="preserve">Head of Operations — owns courier onboarding, dispatching policy and SLA targets.</w:t>
      </w:r>
    </w:p>
    <w:p>
      <w:pPr>
        <w:pStyle w:val="ListParagraph"/>
        <w:numPr>
          <w:ilvl w:val="0"/>
          <w:numId w:val="2"/>
        </w:numPr>
      </w:pPr>
      <w:r>
        <w:t xml:space="preserve">Finance Lead — owns commission, payouts and revenue-recognition rules.</w:t>
      </w:r>
    </w:p>
    <w:p>
      <w:pPr>
        <w:pStyle w:val="ListParagraph"/>
        <w:numPr>
          <w:ilvl w:val="0"/>
          <w:numId w:val="2"/>
        </w:numPr>
      </w:pPr>
      <w:r>
        <w:t xml:space="preserve">Security &amp; Compliance Officer — owns PCI/SOC 2 attestations and data-handling policies.</w:t>
      </w:r>
    </w:p>
    <w:p>
      <w:pPr>
        <w:pStyle w:val="Heading1"/>
      </w:pPr>
      <w:r>
        <w:t xml:space="preserve">7. Success Metrics</w:t>
      </w:r>
    </w:p>
    <w:p>
      <w:pPr>
        <w:pStyle w:val="ListParagraph"/>
        <w:numPr>
          <w:ilvl w:val="0"/>
          <w:numId w:val="2"/>
        </w:numPr>
      </w:pPr>
      <w:r>
        <w:t xml:space="preserve">Monthly active customers (MAC), monthly completed orders, repeat-order rate (60-day window).</w:t>
      </w:r>
    </w:p>
    <w:p>
      <w:pPr>
        <w:pStyle w:val="ListParagraph"/>
        <w:numPr>
          <w:ilvl w:val="0"/>
          <w:numId w:val="2"/>
        </w:numPr>
      </w:pPr>
      <w:r>
        <w:t xml:space="preserve">p50 / p95 order placement latency, p50 / p95 end-to-end delivery time.</w:t>
      </w:r>
    </w:p>
    <w:p>
      <w:pPr>
        <w:pStyle w:val="ListParagraph"/>
        <w:numPr>
          <w:ilvl w:val="0"/>
          <w:numId w:val="2"/>
        </w:numPr>
      </w:pPr>
      <w:r>
        <w:t xml:space="preserve">Customer rating average, restaurant rating average, % orders below 3-star rating.</w:t>
      </w:r>
    </w:p>
    <w:p>
      <w:pPr>
        <w:pStyle w:val="ListParagraph"/>
        <w:numPr>
          <w:ilvl w:val="0"/>
          <w:numId w:val="2"/>
        </w:numPr>
      </w:pPr>
      <w:r>
        <w:t xml:space="preserve">Gross marketplace revenue, blended take-rate, contribution margin per order.</w:t>
      </w:r>
    </w:p>
    <w:p>
      <w:pPr>
        <w:pStyle w:val="ListParagraph"/>
        <w:numPr>
          <w:ilvl w:val="0"/>
          <w:numId w:val="2"/>
        </w:numPr>
      </w:pPr>
      <w:r>
        <w:t xml:space="preserve">Crash-free session rate, mean time to recovery (MTTR) for SEV-1 incidents.</w:t>
      </w:r>
    </w:p>
    <w:p>
      <w:pPr>
        <w:pStyle w:val="Heading1"/>
      </w:pPr>
      <w:r>
        <w:t xml:space="preserve">8. Out of Scope (Release 1)</w:t>
      </w:r>
    </w:p>
    <w:p>
      <w:pPr>
        <w:pStyle w:val="ListParagraph"/>
        <w:numPr>
          <w:ilvl w:val="0"/>
          <w:numId w:val="2"/>
        </w:numPr>
      </w:pPr>
      <w:r>
        <w:t xml:space="preserve">Multi-city expansion — release 1 covers New York City boroughs only.</w:t>
      </w:r>
    </w:p>
    <w:p>
      <w:pPr>
        <w:pStyle w:val="ListParagraph"/>
        <w:numPr>
          <w:ilvl w:val="0"/>
          <w:numId w:val="2"/>
        </w:numPr>
      </w:pPr>
      <w:r>
        <w:t xml:space="preserve">Subscription products (e.g., FoodHub+) — deferred to release 2.</w:t>
      </w:r>
    </w:p>
    <w:p>
      <w:pPr>
        <w:pStyle w:val="ListParagraph"/>
        <w:numPr>
          <w:ilvl w:val="0"/>
          <w:numId w:val="2"/>
        </w:numPr>
      </w:pPr>
      <w:r>
        <w:t xml:space="preserve">Group ordering and corporate accounts — deferred to release 2.</w:t>
      </w:r>
    </w:p>
    <w:p>
      <w:pPr>
        <w:pStyle w:val="ListParagraph"/>
        <w:numPr>
          <w:ilvl w:val="0"/>
          <w:numId w:val="2"/>
        </w:numPr>
      </w:pPr>
      <w:r>
        <w:t xml:space="preserve">Native loyalty program with cashback — deferred; release 1 uses promo-code mechanism only.</w:t>
      </w:r>
    </w:p>
    <w:p>
      <w:pPr>
        <w:pStyle w:val="Heading1"/>
      </w:pPr>
      <w:r>
        <w:t xml:space="preserve">9. Assumptions</w:t>
      </w:r>
    </w:p>
    <w:p>
      <w:pPr>
        <w:pStyle w:val="ListParagraph"/>
        <w:numPr>
          <w:ilvl w:val="0"/>
          <w:numId w:val="2"/>
        </w:numPr>
      </w:pPr>
      <w:r>
        <w:t xml:space="preserve">Payment processing is delegated to a single tokenising provider (Stripe or Adyen); FoodHub does not store raw card data.</w:t>
      </w:r>
    </w:p>
    <w:p>
      <w:pPr>
        <w:pStyle w:val="ListParagraph"/>
        <w:numPr>
          <w:ilvl w:val="0"/>
          <w:numId w:val="2"/>
        </w:numPr>
      </w:pPr>
      <w:r>
        <w:t xml:space="preserve">Mapping, geocoding and ETA prediction are sourced from Google Maps Platform with a pre-negotiated rate card.</w:t>
      </w:r>
    </w:p>
    <w:p>
      <w:pPr>
        <w:pStyle w:val="ListParagraph"/>
        <w:numPr>
          <w:ilvl w:val="0"/>
          <w:numId w:val="2"/>
        </w:numPr>
      </w:pPr>
      <w:r>
        <w:t xml:space="preserve">Courier population is sufficient to meet target dispatch density at launch; courier acquisition is owned by the Operations team and tracked outside this BRD.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8"/>
        <w:szCs w:val="18"/>
      </w:rPr>
      <w:t xml:space="preserve">FoodHub BRD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0"/>
      <w:jc w:val="left"/>
    </w:pPr>
    <w:rPr>
      <w:rFonts w:ascii="Arial" w:cs="Arial" w:eastAsia="Arial" w:hAnsi="Arial"/>
      <w:b/>
      <w:bCs/>
      <w:sz w:val="40"/>
      <w:szCs w:val="40"/>
    </w:rPr>
  </w:style>
  <w:style w:type="paragraph" w:styleId="Subtitle">
    <w:name w:val="Subtitle"/>
    <w:basedOn w:val="Normal"/>
    <w:next w:val="Normal"/>
    <w:qFormat/>
    <w:pPr>
      <w:spacing w:after="240" w:before="0"/>
    </w:pPr>
    <w:rPr>
      <w:rFonts w:ascii="Arial" w:cs="Arial" w:eastAsia="Arial" w:hAnsi="Arial"/>
      <w:i/>
      <w:iCs/>
      <w:color w:val="555555"/>
      <w:sz w:val="22"/>
      <w:szCs w:val="22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FoodHub Business Requirements Document</dc:title>
  <dc:creator>EM Copilot</dc:creator>
  <dc:description>Auto-generated BRD for the EM Copilot pipeline (FoodHub aggregator platform).</dc:description>
  <cp:lastModifiedBy>Un-named</cp:lastModifiedBy>
  <cp:revision>1</cp:revision>
  <dcterms:created xsi:type="dcterms:W3CDTF">2026-05-17T07:20:17.277Z</dcterms:created>
  <dcterms:modified xsi:type="dcterms:W3CDTF">2026-05-17T07:20:17.277Z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