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roblem-statements"/>
    <w:p>
      <w:pPr>
        <w:pStyle w:val="Heading1"/>
      </w:pPr>
      <w:r>
        <w:t xml:space="preserve">Problem Statements</w:t>
      </w:r>
    </w:p>
    <w:p>
      <w:pPr>
        <w:pStyle w:val="FirstParagraph"/>
      </w:pPr>
      <w:r>
        <w:rPr>
          <w:bCs/>
          <w:b/>
        </w:rPr>
        <w:t xml:space="preserve">Project</w:t>
      </w:r>
      <w:r>
        <w:t xml:space="preserve">: Implement Client Script &amp; UI Policy (Incident)</w:t>
      </w:r>
      <w:r>
        <w:br/>
      </w:r>
      <w:r>
        <w:rPr>
          <w:bCs/>
          <w:b/>
        </w:rPr>
        <w:t xml:space="preserve">Document Reference</w:t>
      </w:r>
      <w:r>
        <w:t xml:space="preserve">: PRJ-INC-P1-001</w:t>
      </w:r>
      <w:r>
        <w:br/>
      </w:r>
      <w:r>
        <w:rPr>
          <w:bCs/>
          <w:b/>
        </w:rPr>
        <w:t xml:space="preserve">Milestone</w:t>
      </w:r>
      <w:r>
        <w:t xml:space="preserve">: M1 - Ideation</w:t>
      </w:r>
      <w:r>
        <w:br/>
      </w:r>
      <w:r>
        <w:rPr>
          <w:bCs/>
          <w:b/>
        </w:rPr>
        <w:t xml:space="preserve">Owner</w:t>
      </w:r>
      <w:r>
        <w:t xml:space="preserve">: Rahul (Team Lead)</w:t>
      </w:r>
      <w:r>
        <w:br/>
      </w:r>
      <w:r>
        <w:rPr>
          <w:bCs/>
          <w:b/>
        </w:rPr>
        <w:t xml:space="preserve">Status</w:t>
      </w:r>
      <w:r>
        <w:t xml:space="preserve">: Submission Ready</w:t>
      </w:r>
    </w:p>
    <w:p>
      <w:r>
        <w:pict>
          <v:rect style="width:0;height:1.5pt" o:hralign="center" o:hrstd="t" o:hr="t"/>
        </w:pict>
      </w:r>
    </w:p>
    <w:bookmarkStart w:id="20" w:name="context"/>
    <w:p>
      <w:pPr>
        <w:pStyle w:val="Heading2"/>
      </w:pPr>
      <w:r>
        <w:t xml:space="preserve">1. Context</w:t>
      </w:r>
    </w:p>
    <w:p>
      <w:pPr>
        <w:pStyle w:val="FirstParagraph"/>
      </w:pPr>
      <w:r>
        <w:t xml:space="preserve">The Incident form is used by every service-desk agent, fulfiller and end user. Because the form accepts almost any input by default, the quality of Incident data depends on each person’s discipline. Over time this produces records that are hard to triage, route, search and report on.</w:t>
      </w:r>
    </w:p>
    <w:bookmarkEnd w:id="20"/>
    <w:bookmarkStart w:id="21" w:name="problem-statements-1"/>
    <w:p>
      <w:pPr>
        <w:pStyle w:val="Heading2"/>
      </w:pPr>
      <w:r>
        <w:t xml:space="preserve">2. Problem Statements</w:t>
      </w:r>
    </w:p>
    <w:tbl>
      <w:tblPr>
        <w:tblStyle w:val="Table"/>
        <w:tblW w:type="pct" w:w="5000"/>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Layout w:type="fixed"/>
      </w:tblPr>
      <w:tblGrid>
        <w:gridCol w:w="1980"/>
        <w:gridCol w:w="1980"/>
        <w:gridCol w:w="1980"/>
        <w:gridCol w:w="1980"/>
      </w:tblGrid>
      <w:tr>
        <w:trPr>
          <w:tblHeader w:val="true"/>
        </w:trPr>
        <w:tc>
          <w:tcPr>
            <w:tcW w:type="dxa" w:w="831"/>
            <w:shd w:val="clear" w:color="auto" w:fill="1F3A5F"/>
          </w:tcPr>
          <w:p>
            <w:pPr>
              <w:pStyle w:val="Compact"/>
              <w:spacing w:after="20" w:before="20"/>
              <w:jc w:val="left"/>
            </w:pPr>
            <w:r>
              <w:rPr>
                <w:b/>
                <w:color w:val="FFFFFF"/>
                <w:sz w:val="18"/>
              </w:rPr>
              <w:t xml:space="preserve">ID</w:t>
            </w:r>
          </w:p>
        </w:tc>
        <w:tc>
          <w:tcPr>
            <w:tcW w:type="dxa" w:w="3885"/>
            <w:shd w:val="clear" w:color="auto" w:fill="1F3A5F"/>
          </w:tcPr>
          <w:p>
            <w:pPr>
              <w:pStyle w:val="Compact"/>
              <w:spacing w:after="20" w:before="20"/>
              <w:jc w:val="left"/>
            </w:pPr>
            <w:r>
              <w:rPr>
                <w:b/>
                <w:color w:val="FFFFFF"/>
                <w:sz w:val="18"/>
              </w:rPr>
              <w:t xml:space="preserve">Problem</w:t>
            </w:r>
          </w:p>
        </w:tc>
        <w:tc>
          <w:tcPr>
            <w:tcW w:type="dxa" w:w="2417"/>
            <w:shd w:val="clear" w:color="auto" w:fill="1F3A5F"/>
          </w:tcPr>
          <w:p>
            <w:pPr>
              <w:pStyle w:val="Compact"/>
              <w:spacing w:after="20" w:before="20"/>
              <w:jc w:val="left"/>
            </w:pPr>
            <w:r>
              <w:rPr>
                <w:b/>
                <w:color w:val="FFFFFF"/>
                <w:sz w:val="18"/>
              </w:rPr>
              <w:t xml:space="preserve">Who is affected</w:t>
            </w:r>
          </w:p>
        </w:tc>
        <w:tc>
          <w:tcPr>
            <w:tcW w:type="dxa" w:w="2804"/>
            <w:shd w:val="clear" w:color="auto" w:fill="1F3A5F"/>
          </w:tcPr>
          <w:p>
            <w:pPr>
              <w:pStyle w:val="Compact"/>
              <w:spacing w:after="20" w:before="20"/>
              <w:jc w:val="left"/>
            </w:pPr>
            <w:r>
              <w:rPr>
                <w:b/>
                <w:color w:val="FFFFFF"/>
                <w:sz w:val="18"/>
              </w:rPr>
              <w:t xml:space="preserve">Consequence</w:t>
            </w:r>
          </w:p>
        </w:tc>
      </w:tr>
      <w:tr>
        <w:tc>
          <w:tcPr>
            <w:tcW w:type="dxa" w:w="831"/>
          </w:tcPr>
          <w:p>
            <w:pPr>
              <w:pStyle w:val="Compact"/>
              <w:spacing w:after="20" w:before="20"/>
              <w:jc w:val="left"/>
            </w:pPr>
            <w:r>
              <w:rPr>
                <w:sz w:val="18"/>
              </w:rPr>
              <w:t xml:space="preserve">PS-01</w:t>
            </w:r>
          </w:p>
        </w:tc>
        <w:tc>
          <w:tcPr>
            <w:tcW w:type="dxa" w:w="3885"/>
          </w:tcPr>
          <w:p>
            <w:pPr>
              <w:pStyle w:val="Compact"/>
              <w:spacing w:after="20" w:before="20"/>
              <w:jc w:val="left"/>
            </w:pPr>
            <w:r>
              <w:rPr>
                <w:sz w:val="18"/>
              </w:rPr>
              <w:t xml:space="preserve">Incidents are saved with blank or meaningless Short descriptions</w:t>
            </w:r>
          </w:p>
        </w:tc>
        <w:tc>
          <w:tcPr>
            <w:tcW w:type="dxa" w:w="2417"/>
          </w:tcPr>
          <w:p>
            <w:pPr>
              <w:pStyle w:val="Compact"/>
              <w:spacing w:after="20" w:before="20"/>
              <w:jc w:val="left"/>
            </w:pPr>
            <w:r>
              <w:rPr>
                <w:sz w:val="18"/>
              </w:rPr>
              <w:t xml:space="preserve">Agents, fulfillers, reporting team</w:t>
            </w:r>
          </w:p>
        </w:tc>
        <w:tc>
          <w:tcPr>
            <w:tcW w:type="dxa" w:w="2804"/>
          </w:tcPr>
          <w:p>
            <w:pPr>
              <w:pStyle w:val="Compact"/>
              <w:spacing w:after="20" w:before="20"/>
              <w:jc w:val="left"/>
            </w:pPr>
            <w:r>
              <w:rPr>
                <w:sz w:val="18"/>
              </w:rPr>
              <w:t xml:space="preserve">Hard to search and triage</w:t>
            </w:r>
          </w:p>
        </w:tc>
      </w:tr>
      <w:tr>
        <w:tc>
          <w:tcPr>
            <w:tcW w:type="dxa" w:w="831"/>
            <w:shd w:val="clear" w:color="auto" w:fill="F2F6FA"/>
          </w:tcPr>
          <w:p>
            <w:pPr>
              <w:pStyle w:val="Compact"/>
              <w:spacing w:after="20" w:before="20"/>
              <w:jc w:val="left"/>
            </w:pPr>
            <w:r>
              <w:rPr>
                <w:sz w:val="18"/>
              </w:rPr>
              <w:t xml:space="preserve">PS-02</w:t>
            </w:r>
          </w:p>
        </w:tc>
        <w:tc>
          <w:tcPr>
            <w:tcW w:type="dxa" w:w="3885"/>
            <w:shd w:val="clear" w:color="auto" w:fill="F2F6FA"/>
          </w:tcPr>
          <w:p>
            <w:pPr>
              <w:pStyle w:val="Compact"/>
              <w:spacing w:after="20" w:before="20"/>
              <w:jc w:val="left"/>
            </w:pPr>
            <w:r>
              <w:rPr>
                <w:sz w:val="18"/>
              </w:rPr>
              <w:t xml:space="preserve">Changing Category leaves the old Subcategory in place</w:t>
            </w:r>
          </w:p>
        </w:tc>
        <w:tc>
          <w:tcPr>
            <w:tcW w:type="dxa" w:w="2417"/>
            <w:shd w:val="clear" w:color="auto" w:fill="F2F6FA"/>
          </w:tcPr>
          <w:p>
            <w:pPr>
              <w:pStyle w:val="Compact"/>
              <w:spacing w:after="20" w:before="20"/>
              <w:jc w:val="left"/>
            </w:pPr>
            <w:r>
              <w:rPr>
                <w:sz w:val="18"/>
              </w:rPr>
              <w:t xml:space="preserve">Agents, reporting team</w:t>
            </w:r>
          </w:p>
        </w:tc>
        <w:tc>
          <w:tcPr>
            <w:tcW w:type="dxa" w:w="2804"/>
            <w:shd w:val="clear" w:color="auto" w:fill="F2F6FA"/>
          </w:tcPr>
          <w:p>
            <w:pPr>
              <w:pStyle w:val="Compact"/>
              <w:spacing w:after="20" w:before="20"/>
              <w:jc w:val="left"/>
            </w:pPr>
            <w:r>
              <w:rPr>
                <w:sz w:val="18"/>
              </w:rPr>
              <w:t xml:space="preserve">Invalid Category/Subcategory pairs</w:t>
            </w:r>
          </w:p>
        </w:tc>
      </w:tr>
      <w:tr>
        <w:tc>
          <w:tcPr>
            <w:tcW w:type="dxa" w:w="831"/>
          </w:tcPr>
          <w:p>
            <w:pPr>
              <w:pStyle w:val="Compact"/>
              <w:spacing w:after="20" w:before="20"/>
              <w:jc w:val="left"/>
            </w:pPr>
            <w:r>
              <w:rPr>
                <w:sz w:val="18"/>
              </w:rPr>
              <w:t xml:space="preserve">PS-03</w:t>
            </w:r>
          </w:p>
        </w:tc>
        <w:tc>
          <w:tcPr>
            <w:tcW w:type="dxa" w:w="3885"/>
          </w:tcPr>
          <w:p>
            <w:pPr>
              <w:pStyle w:val="Compact"/>
              <w:spacing w:after="20" w:before="20"/>
              <w:jc w:val="left"/>
            </w:pPr>
            <w:r>
              <w:rPr>
                <w:sz w:val="18"/>
              </w:rPr>
              <w:t xml:space="preserve">Priority 1 - Critical can be chosen with no warning</w:t>
            </w:r>
          </w:p>
        </w:tc>
        <w:tc>
          <w:tcPr>
            <w:tcW w:type="dxa" w:w="2417"/>
          </w:tcPr>
          <w:p>
            <w:pPr>
              <w:pStyle w:val="Compact"/>
              <w:spacing w:after="20" w:before="20"/>
              <w:jc w:val="left"/>
            </w:pPr>
            <w:r>
              <w:rPr>
                <w:sz w:val="18"/>
              </w:rPr>
              <w:t xml:space="preserve">Agents, service managers</w:t>
            </w:r>
          </w:p>
        </w:tc>
        <w:tc>
          <w:tcPr>
            <w:tcW w:type="dxa" w:w="2804"/>
          </w:tcPr>
          <w:p>
            <w:pPr>
              <w:pStyle w:val="Compact"/>
              <w:spacing w:after="20" w:before="20"/>
              <w:jc w:val="left"/>
            </w:pPr>
            <w:r>
              <w:rPr>
                <w:sz w:val="18"/>
              </w:rPr>
              <w:t xml:space="preserve">Critical incidents handled casually</w:t>
            </w:r>
          </w:p>
        </w:tc>
      </w:tr>
      <w:tr>
        <w:tc>
          <w:tcPr>
            <w:tcW w:type="dxa" w:w="831"/>
            <w:shd w:val="clear" w:color="auto" w:fill="F2F6FA"/>
          </w:tcPr>
          <w:p>
            <w:pPr>
              <w:pStyle w:val="Compact"/>
              <w:spacing w:after="20" w:before="20"/>
              <w:jc w:val="left"/>
            </w:pPr>
            <w:r>
              <w:rPr>
                <w:sz w:val="18"/>
              </w:rPr>
              <w:t xml:space="preserve">PS-04</w:t>
            </w:r>
          </w:p>
        </w:tc>
        <w:tc>
          <w:tcPr>
            <w:tcW w:type="dxa" w:w="3885"/>
            <w:shd w:val="clear" w:color="auto" w:fill="F2F6FA"/>
          </w:tcPr>
          <w:p>
            <w:pPr>
              <w:pStyle w:val="Compact"/>
              <w:spacing w:after="20" w:before="20"/>
              <w:jc w:val="left"/>
            </w:pPr>
            <w:r>
              <w:rPr>
                <w:sz w:val="18"/>
              </w:rPr>
              <w:t xml:space="preserve">High-impact incidents are saved with Urgency below High</w:t>
            </w:r>
          </w:p>
        </w:tc>
        <w:tc>
          <w:tcPr>
            <w:tcW w:type="dxa" w:w="2417"/>
            <w:shd w:val="clear" w:color="auto" w:fill="F2F6FA"/>
          </w:tcPr>
          <w:p>
            <w:pPr>
              <w:pStyle w:val="Compact"/>
              <w:spacing w:after="20" w:before="20"/>
              <w:jc w:val="left"/>
            </w:pPr>
            <w:r>
              <w:rPr>
                <w:sz w:val="18"/>
              </w:rPr>
              <w:t xml:space="preserve">Service managers</w:t>
            </w:r>
          </w:p>
        </w:tc>
        <w:tc>
          <w:tcPr>
            <w:tcW w:type="dxa" w:w="2804"/>
            <w:shd w:val="clear" w:color="auto" w:fill="F2F6FA"/>
          </w:tcPr>
          <w:p>
            <w:pPr>
              <w:pStyle w:val="Compact"/>
              <w:spacing w:after="20" w:before="20"/>
              <w:jc w:val="left"/>
            </w:pPr>
            <w:r>
              <w:rPr>
                <w:sz w:val="18"/>
              </w:rPr>
              <w:t xml:space="preserve">Inconsistent priority calculation</w:t>
            </w:r>
          </w:p>
        </w:tc>
      </w:tr>
      <w:tr>
        <w:tc>
          <w:tcPr>
            <w:tcW w:type="dxa" w:w="831"/>
          </w:tcPr>
          <w:p>
            <w:pPr>
              <w:pStyle w:val="Compact"/>
              <w:spacing w:after="20" w:before="20"/>
              <w:jc w:val="left"/>
            </w:pPr>
            <w:r>
              <w:rPr>
                <w:sz w:val="18"/>
              </w:rPr>
              <w:t xml:space="preserve">PS-05</w:t>
            </w:r>
          </w:p>
        </w:tc>
        <w:tc>
          <w:tcPr>
            <w:tcW w:type="dxa" w:w="3885"/>
          </w:tcPr>
          <w:p>
            <w:pPr>
              <w:pStyle w:val="Compact"/>
              <w:spacing w:after="20" w:before="20"/>
              <w:jc w:val="left"/>
            </w:pPr>
            <w:r>
              <w:rPr>
                <w:sz w:val="18"/>
              </w:rPr>
              <w:t xml:space="preserve">High-impact incidents have no owner or assignment group</w:t>
            </w:r>
          </w:p>
        </w:tc>
        <w:tc>
          <w:tcPr>
            <w:tcW w:type="dxa" w:w="2417"/>
          </w:tcPr>
          <w:p>
            <w:pPr>
              <w:pStyle w:val="Compact"/>
              <w:spacing w:after="20" w:before="20"/>
              <w:jc w:val="left"/>
            </w:pPr>
            <w:r>
              <w:rPr>
                <w:sz w:val="18"/>
              </w:rPr>
              <w:t xml:space="preserve">Fulfillers, service managers</w:t>
            </w:r>
          </w:p>
        </w:tc>
        <w:tc>
          <w:tcPr>
            <w:tcW w:type="dxa" w:w="2804"/>
          </w:tcPr>
          <w:p>
            <w:pPr>
              <w:pStyle w:val="Compact"/>
              <w:spacing w:after="20" w:before="20"/>
              <w:jc w:val="left"/>
            </w:pPr>
            <w:r>
              <w:rPr>
                <w:sz w:val="18"/>
              </w:rPr>
              <w:t xml:space="preserve">Unowned incidents, routing delays</w:t>
            </w:r>
          </w:p>
        </w:tc>
      </w:tr>
      <w:tr>
        <w:tc>
          <w:tcPr>
            <w:tcW w:type="dxa" w:w="831"/>
            <w:shd w:val="clear" w:color="auto" w:fill="F2F6FA"/>
          </w:tcPr>
          <w:p>
            <w:pPr>
              <w:pStyle w:val="Compact"/>
              <w:spacing w:after="20" w:before="20"/>
              <w:jc w:val="left"/>
            </w:pPr>
            <w:r>
              <w:rPr>
                <w:sz w:val="18"/>
              </w:rPr>
              <w:t xml:space="preserve">PS-06</w:t>
            </w:r>
          </w:p>
        </w:tc>
        <w:tc>
          <w:tcPr>
            <w:tcW w:type="dxa" w:w="3885"/>
            <w:shd w:val="clear" w:color="auto" w:fill="F2F6FA"/>
          </w:tcPr>
          <w:p>
            <w:pPr>
              <w:pStyle w:val="Compact"/>
              <w:spacing w:after="20" w:before="20"/>
              <w:jc w:val="left"/>
            </w:pPr>
            <w:r>
              <w:rPr>
                <w:sz w:val="18"/>
              </w:rPr>
              <w:t xml:space="preserve">State can be changed with one click in a list view</w:t>
            </w:r>
          </w:p>
        </w:tc>
        <w:tc>
          <w:tcPr>
            <w:tcW w:type="dxa" w:w="2417"/>
            <w:shd w:val="clear" w:color="auto" w:fill="F2F6FA"/>
          </w:tcPr>
          <w:p>
            <w:pPr>
              <w:pStyle w:val="Compact"/>
              <w:spacing w:after="20" w:before="20"/>
              <w:jc w:val="left"/>
            </w:pPr>
            <w:r>
              <w:rPr>
                <w:sz w:val="18"/>
              </w:rPr>
              <w:t xml:space="preserve">Process owners, auditors</w:t>
            </w:r>
          </w:p>
        </w:tc>
        <w:tc>
          <w:tcPr>
            <w:tcW w:type="dxa" w:w="2804"/>
            <w:shd w:val="clear" w:color="auto" w:fill="F2F6FA"/>
          </w:tcPr>
          <w:p>
            <w:pPr>
              <w:pStyle w:val="Compact"/>
              <w:spacing w:after="20" w:before="20"/>
              <w:jc w:val="left"/>
            </w:pPr>
            <w:r>
              <w:rPr>
                <w:sz w:val="18"/>
              </w:rPr>
              <w:t xml:space="preserve">Accidental or uncontrolled State changes</w:t>
            </w:r>
          </w:p>
        </w:tc>
      </w:tr>
    </w:tbl>
    <w:bookmarkEnd w:id="21"/>
    <w:bookmarkStart w:id="22" w:name="root-cause-summary"/>
    <w:p>
      <w:pPr>
        <w:pStyle w:val="Heading2"/>
      </w:pPr>
      <w:r>
        <w:t xml:space="preserve">3. Root Cause Summary</w:t>
      </w:r>
    </w:p>
    <w:p>
      <w:pPr>
        <w:numPr>
          <w:ilvl w:val="0"/>
          <w:numId w:val="1001"/>
        </w:numPr>
        <w:pStyle w:val="Compact"/>
      </w:pPr>
      <w:r>
        <w:rPr>
          <w:bCs/>
          <w:b/>
        </w:rPr>
        <w:t xml:space="preserve">No input rules at the form level</w:t>
      </w:r>
      <w:r>
        <w:t xml:space="preserve"> </w:t>
      </w:r>
      <w:r>
        <w:t xml:space="preserve">- everything is optional unless configured.</w:t>
      </w:r>
    </w:p>
    <w:p>
      <w:pPr>
        <w:numPr>
          <w:ilvl w:val="0"/>
          <w:numId w:val="1001"/>
        </w:numPr>
        <w:pStyle w:val="Compact"/>
      </w:pPr>
      <w:r>
        <w:rPr>
          <w:bCs/>
          <w:b/>
        </w:rPr>
        <w:t xml:space="preserve">Dependent fields are not coordinated</w:t>
      </w:r>
      <w:r>
        <w:t xml:space="preserve"> </w:t>
      </w:r>
      <w:r>
        <w:t xml:space="preserve">- Subcategory does not reset itself.</w:t>
      </w:r>
    </w:p>
    <w:p>
      <w:pPr>
        <w:numPr>
          <w:ilvl w:val="0"/>
          <w:numId w:val="1001"/>
        </w:numPr>
        <w:pStyle w:val="Compact"/>
      </w:pPr>
      <w:r>
        <w:rPr>
          <w:bCs/>
          <w:b/>
        </w:rPr>
        <w:t xml:space="preserve">Priority-related guidance is missing</w:t>
      </w:r>
      <w:r>
        <w:t xml:space="preserve"> </w:t>
      </w:r>
      <w:r>
        <w:t xml:space="preserve">- the form never explains the consequence of a choice.</w:t>
      </w:r>
    </w:p>
    <w:p>
      <w:pPr>
        <w:numPr>
          <w:ilvl w:val="0"/>
          <w:numId w:val="1001"/>
        </w:numPr>
        <w:pStyle w:val="Compact"/>
      </w:pPr>
      <w:r>
        <w:rPr>
          <w:bCs/>
          <w:b/>
        </w:rPr>
        <w:t xml:space="preserve">List editing bypasses form checks</w:t>
      </w:r>
      <w:r>
        <w:t xml:space="preserve"> </w:t>
      </w:r>
      <w:r>
        <w:t xml:space="preserve">- inline edits skip the form’s controls.</w:t>
      </w:r>
    </w:p>
    <w:bookmarkEnd w:id="22"/>
    <w:bookmarkStart w:id="23" w:name="scope"/>
    <w:p>
      <w:pPr>
        <w:pStyle w:val="Heading2"/>
      </w:pPr>
      <w:r>
        <w:t xml:space="preserve">4. Scope</w:t>
      </w:r>
    </w:p>
    <w:p>
      <w:pPr>
        <w:numPr>
          <w:ilvl w:val="0"/>
          <w:numId w:val="1002"/>
        </w:numPr>
        <w:pStyle w:val="Compact"/>
      </w:pPr>
      <w:r>
        <w:rPr>
          <w:bCs/>
          <w:b/>
        </w:rPr>
        <w:t xml:space="preserve">In scope:</w:t>
      </w:r>
      <w:r>
        <w:t xml:space="preserve"> </w:t>
      </w:r>
      <w:r>
        <w:t xml:space="preserve">Incident form and Incident list (</w:t>
      </w:r>
      <w:r>
        <w:rPr>
          <w:rStyle w:val="VerbatimChar"/>
        </w:rPr>
        <w:t xml:space="preserve">incident</w:t>
      </w:r>
      <w:r>
        <w:t xml:space="preserve"> </w:t>
      </w:r>
      <w:r>
        <w:t xml:space="preserve">table), UI Policies, UI Policy Actions, Client Scripts (</w:t>
      </w:r>
      <w:r>
        <w:rPr>
          <w:rStyle w:val="VerbatimChar"/>
        </w:rPr>
        <w:t xml:space="preserve">onLoad</w:t>
      </w:r>
      <w:r>
        <w:t xml:space="preserve">,</w:t>
      </w:r>
      <w:r>
        <w:t xml:space="preserve"> </w:t>
      </w:r>
      <w:r>
        <w:rPr>
          <w:rStyle w:val="VerbatimChar"/>
        </w:rPr>
        <w:t xml:space="preserve">onChange</w:t>
      </w:r>
      <w:r>
        <w:t xml:space="preserve">,</w:t>
      </w:r>
      <w:r>
        <w:t xml:space="preserve"> </w:t>
      </w:r>
      <w:r>
        <w:rPr>
          <w:rStyle w:val="VerbatimChar"/>
        </w:rPr>
        <w:t xml:space="preserve">onSubmit</w:t>
      </w:r>
      <w:r>
        <w:t xml:space="preserve">,</w:t>
      </w:r>
      <w:r>
        <w:t xml:space="preserve"> </w:t>
      </w:r>
      <w:r>
        <w:rPr>
          <w:rStyle w:val="VerbatimChar"/>
        </w:rPr>
        <w:t xml:space="preserve">onCellEdit</w:t>
      </w:r>
      <w:r>
        <w:t xml:space="preserve">).</w:t>
      </w:r>
    </w:p>
    <w:p>
      <w:pPr>
        <w:numPr>
          <w:ilvl w:val="0"/>
          <w:numId w:val="1002"/>
        </w:numPr>
        <w:pStyle w:val="Compact"/>
      </w:pPr>
      <w:r>
        <w:rPr>
          <w:bCs/>
          <w:b/>
        </w:rPr>
        <w:t xml:space="preserve">Out of scope:</w:t>
      </w:r>
      <w:r>
        <w:t xml:space="preserve"> </w:t>
      </w:r>
      <w:r>
        <w:t xml:space="preserve">Business Rules, Flow Designer, notifications, SLA definitions, Service Portal widgets, integrations.</w:t>
      </w:r>
    </w:p>
    <w:bookmarkEnd w:id="23"/>
    <w:bookmarkStart w:id="24" w:name="success-criteria"/>
    <w:p>
      <w:pPr>
        <w:pStyle w:val="Heading2"/>
      </w:pPr>
      <w:r>
        <w:t xml:space="preserve">5. Success Criteria</w:t>
      </w:r>
    </w:p>
    <w:p>
      <w:pPr>
        <w:numPr>
          <w:ilvl w:val="0"/>
          <w:numId w:val="1003"/>
        </w:numPr>
        <w:pStyle w:val="Compact"/>
      </w:pPr>
      <w:r>
        <w:t xml:space="preserve">Every problem statement PS-01 to PS-06 is closed by at least one control.</w:t>
      </w:r>
    </w:p>
    <w:p>
      <w:pPr>
        <w:numPr>
          <w:ilvl w:val="0"/>
          <w:numId w:val="1003"/>
        </w:numPr>
        <w:pStyle w:val="Compact"/>
      </w:pPr>
      <w:r>
        <w:t xml:space="preserve">Each control has a positive and a negative UAT test case.</w:t>
      </w:r>
    </w:p>
    <w:p>
      <w:pPr>
        <w:numPr>
          <w:ilvl w:val="0"/>
          <w:numId w:val="1003"/>
        </w:numPr>
        <w:pStyle w:val="Compact"/>
      </w:pPr>
      <w:r>
        <w:t xml:space="preserve">Reverse-condition behaviour is verified.</w:t>
      </w:r>
    </w:p>
    <w:bookmarkEnd w:id="24"/>
    <w:bookmarkStart w:id="25" w:name="stakeholders"/>
    <w:p>
      <w:pPr>
        <w:pStyle w:val="Heading2"/>
      </w:pPr>
      <w:r>
        <w:t xml:space="preserve">6. Stakeholders</w:t>
      </w:r>
    </w:p>
    <w:tbl>
      <w:tblPr>
        <w:tblStyle w:val="Table"/>
        <w:tblW w:type="pct" w:w="5000"/>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Layout w:type="fixed"/>
      </w:tblPr>
      <w:tblGrid>
        <w:gridCol w:w="3960"/>
        <w:gridCol w:w="3960"/>
      </w:tblGrid>
      <w:tr>
        <w:trPr>
          <w:tblHeader w:val="true"/>
        </w:trPr>
        <w:tc>
          <w:tcPr>
            <w:tcW w:type="dxa" w:w="3577"/>
            <w:shd w:val="clear" w:color="auto" w:fill="1F3A5F"/>
          </w:tcPr>
          <w:p>
            <w:pPr>
              <w:pStyle w:val="Compact"/>
              <w:spacing w:after="20" w:before="20"/>
              <w:jc w:val="left"/>
            </w:pPr>
            <w:r>
              <w:rPr>
                <w:b/>
                <w:color w:val="FFFFFF"/>
                <w:sz w:val="18"/>
              </w:rPr>
              <w:t xml:space="preserve">Stakeholder</w:t>
            </w:r>
          </w:p>
        </w:tc>
        <w:tc>
          <w:tcPr>
            <w:tcW w:type="dxa" w:w="6359"/>
            <w:shd w:val="clear" w:color="auto" w:fill="1F3A5F"/>
          </w:tcPr>
          <w:p>
            <w:pPr>
              <w:pStyle w:val="Compact"/>
              <w:spacing w:after="20" w:before="20"/>
              <w:jc w:val="left"/>
            </w:pPr>
            <w:r>
              <w:rPr>
                <w:b/>
                <w:color w:val="FFFFFF"/>
                <w:sz w:val="18"/>
              </w:rPr>
              <w:t xml:space="preserve">Interest</w:t>
            </w:r>
          </w:p>
        </w:tc>
      </w:tr>
      <w:tr>
        <w:tc>
          <w:tcPr>
            <w:tcW w:type="dxa" w:w="3577"/>
          </w:tcPr>
          <w:p>
            <w:pPr>
              <w:pStyle w:val="Compact"/>
              <w:spacing w:after="20" w:before="20"/>
              <w:jc w:val="left"/>
            </w:pPr>
            <w:r>
              <w:rPr>
                <w:sz w:val="18"/>
              </w:rPr>
              <w:t xml:space="preserve">Service desk agents</w:t>
            </w:r>
          </w:p>
        </w:tc>
        <w:tc>
          <w:tcPr>
            <w:tcW w:type="dxa" w:w="6359"/>
          </w:tcPr>
          <w:p>
            <w:pPr>
              <w:pStyle w:val="Compact"/>
              <w:spacing w:after="20" w:before="20"/>
              <w:jc w:val="left"/>
            </w:pPr>
            <w:r>
              <w:rPr>
                <w:sz w:val="18"/>
              </w:rPr>
              <w:t xml:space="preserve">Fewer form errors, clear guidance</w:t>
            </w:r>
          </w:p>
        </w:tc>
      </w:tr>
      <w:tr>
        <w:tc>
          <w:tcPr>
            <w:tcW w:type="dxa" w:w="3577"/>
            <w:shd w:val="clear" w:color="auto" w:fill="F2F6FA"/>
          </w:tcPr>
          <w:p>
            <w:pPr>
              <w:pStyle w:val="Compact"/>
              <w:spacing w:after="20" w:before="20"/>
              <w:jc w:val="left"/>
            </w:pPr>
            <w:r>
              <w:rPr>
                <w:sz w:val="18"/>
              </w:rPr>
              <w:t xml:space="preserve">Fulfillers</w:t>
            </w:r>
          </w:p>
        </w:tc>
        <w:tc>
          <w:tcPr>
            <w:tcW w:type="dxa" w:w="6359"/>
            <w:shd w:val="clear" w:color="auto" w:fill="F2F6FA"/>
          </w:tcPr>
          <w:p>
            <w:pPr>
              <w:pStyle w:val="Compact"/>
              <w:spacing w:after="20" w:before="20"/>
              <w:jc w:val="left"/>
            </w:pPr>
            <w:r>
              <w:rPr>
                <w:sz w:val="18"/>
              </w:rPr>
              <w:t xml:space="preserve">Incidents arrive with owner and group when impact is High</w:t>
            </w:r>
          </w:p>
        </w:tc>
      </w:tr>
      <w:tr>
        <w:tc>
          <w:tcPr>
            <w:tcW w:type="dxa" w:w="3577"/>
          </w:tcPr>
          <w:p>
            <w:pPr>
              <w:pStyle w:val="Compact"/>
              <w:spacing w:after="20" w:before="20"/>
              <w:jc w:val="left"/>
            </w:pPr>
            <w:r>
              <w:rPr>
                <w:sz w:val="18"/>
              </w:rPr>
              <w:t xml:space="preserve">Service managers</w:t>
            </w:r>
          </w:p>
        </w:tc>
        <w:tc>
          <w:tcPr>
            <w:tcW w:type="dxa" w:w="6359"/>
          </w:tcPr>
          <w:p>
            <w:pPr>
              <w:pStyle w:val="Compact"/>
              <w:spacing w:after="20" w:before="20"/>
              <w:jc w:val="left"/>
            </w:pPr>
            <w:r>
              <w:rPr>
                <w:sz w:val="18"/>
              </w:rPr>
              <w:t xml:space="preserve">Consistent urgency, visibility of Critical incidents</w:t>
            </w:r>
          </w:p>
        </w:tc>
      </w:tr>
      <w:tr>
        <w:tc>
          <w:tcPr>
            <w:tcW w:type="dxa" w:w="3577"/>
            <w:shd w:val="clear" w:color="auto" w:fill="F2F6FA"/>
          </w:tcPr>
          <w:p>
            <w:pPr>
              <w:pStyle w:val="Compact"/>
              <w:spacing w:after="20" w:before="20"/>
              <w:jc w:val="left"/>
            </w:pPr>
            <w:r>
              <w:rPr>
                <w:sz w:val="18"/>
              </w:rPr>
              <w:t xml:space="preserve">Process owner / auditors</w:t>
            </w:r>
          </w:p>
        </w:tc>
        <w:tc>
          <w:tcPr>
            <w:tcW w:type="dxa" w:w="6359"/>
            <w:shd w:val="clear" w:color="auto" w:fill="F2F6FA"/>
          </w:tcPr>
          <w:p>
            <w:pPr>
              <w:pStyle w:val="Compact"/>
              <w:spacing w:after="20" w:before="20"/>
              <w:jc w:val="left"/>
            </w:pPr>
            <w:r>
              <w:rPr>
                <w:sz w:val="18"/>
              </w:rPr>
              <w:t xml:space="preserve">Controlled State changes</w:t>
            </w:r>
          </w:p>
        </w:tc>
      </w:tr>
    </w:tbl>
    <w:bookmarkEnd w:id="25"/>
    <w:bookmarkEnd w:id="26"/>
    <w:sectPr>
      <w:footerReference w:type="default" r:id="rId9"/>
      <w:pgMar w:bottom="1152" w:left="1152" w:right="1152"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Implement Client Script &amp; UI Policy (Incident)  |  Page </w:t>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3A5F"/>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1F3A5F"/>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1F3A5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2026-10-04T09:06:38Z</dcterms:created>
  <dcterms:modified xsi:type="dcterms:W3CDTF">2026-10-04T09:06:38Z</dcterms:modified>
</cp:coreProperties>
</file>

<file path=docProps/custom.xml><?xml version="1.0" encoding="utf-8"?>
<Properties xmlns="http://schemas.openxmlformats.org/officeDocument/2006/custom-properties" xmlns:vt="http://schemas.openxmlformats.org/officeDocument/2006/docPropsVTypes"/>
</file>