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blem-solution-fit"/>
    <w:p>
      <w:pPr>
        <w:pStyle w:val="Heading1"/>
      </w:pPr>
      <w:r>
        <w:t xml:space="preserve">Problem-Solution Fit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PRJ-INC-P3-001</w:t>
      </w:r>
      <w:r>
        <w:br/>
      </w:r>
      <w:r>
        <w:rPr>
          <w:bCs/>
          <w:b/>
        </w:rPr>
        <w:t xml:space="preserve">Milestone</w:t>
      </w:r>
      <w:r>
        <w:t xml:space="preserve">: M3 - Design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323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Problem</w:t>
            </w:r>
          </w:p>
        </w:tc>
        <w:tc>
          <w:tcPr>
            <w:tcW w:type="dxa" w:w="356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Solution element</w:t>
            </w:r>
          </w:p>
        </w:tc>
        <w:tc>
          <w:tcPr>
            <w:tcW w:type="dxa" w:w="116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Fit</w:t>
            </w:r>
          </w:p>
        </w:tc>
        <w:tc>
          <w:tcPr>
            <w:tcW w:type="dxa" w:w="1980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Validation</w:t>
            </w:r>
          </w:p>
        </w:tc>
      </w:tr>
      <w:tr>
        <w:tc>
          <w:tcPr>
            <w:tcW w:type="dxa" w:w="323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PS-01 Blank Short description</w:t>
            </w:r>
          </w:p>
        </w:tc>
        <w:tc>
          <w:tcPr>
            <w:tcW w:type="dxa" w:w="3562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onSubmit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script</w:t>
            </w:r>
          </w:p>
        </w:tc>
        <w:tc>
          <w:tcPr>
            <w:tcW w:type="dxa" w:w="11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Direct</w:t>
            </w:r>
          </w:p>
        </w:tc>
        <w:tc>
          <w:tcPr>
            <w:tcW w:type="dxa" w:w="19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UAT-01 to UAT-03</w:t>
            </w:r>
          </w:p>
        </w:tc>
      </w:tr>
      <w:tr>
        <w:tc>
          <w:tcPr>
            <w:tcW w:type="dxa" w:w="323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PS-02 Stale Subcategory</w:t>
            </w:r>
          </w:p>
        </w:tc>
        <w:tc>
          <w:tcPr>
            <w:tcW w:type="dxa" w:w="356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category</w:t>
            </w:r>
          </w:p>
        </w:tc>
        <w:tc>
          <w:tcPr>
            <w:tcW w:type="dxa" w:w="116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Direct</w:t>
            </w:r>
          </w:p>
        </w:tc>
        <w:tc>
          <w:tcPr>
            <w:tcW w:type="dxa" w:w="198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UAT-04</w:t>
            </w:r>
          </w:p>
        </w:tc>
      </w:tr>
      <w:tr>
        <w:tc>
          <w:tcPr>
            <w:tcW w:type="dxa" w:w="323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PS-03 No Critical warning</w:t>
            </w:r>
          </w:p>
        </w:tc>
        <w:tc>
          <w:tcPr>
            <w:tcW w:type="dxa" w:w="3562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priority</w:t>
            </w:r>
          </w:p>
        </w:tc>
        <w:tc>
          <w:tcPr>
            <w:tcW w:type="dxa" w:w="11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Direct</w:t>
            </w:r>
          </w:p>
        </w:tc>
        <w:tc>
          <w:tcPr>
            <w:tcW w:type="dxa" w:w="19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UAT-05, UAT-06</w:t>
            </w:r>
          </w:p>
        </w:tc>
      </w:tr>
      <w:tr>
        <w:tc>
          <w:tcPr>
            <w:tcW w:type="dxa" w:w="323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PS-04 Inconsistent Urgency</w:t>
            </w:r>
          </w:p>
        </w:tc>
        <w:tc>
          <w:tcPr>
            <w:tcW w:type="dxa" w:w="356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impact + UI Policy read-only</w:t>
            </w:r>
          </w:p>
        </w:tc>
        <w:tc>
          <w:tcPr>
            <w:tcW w:type="dxa" w:w="116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Direct</w:t>
            </w:r>
          </w:p>
        </w:tc>
        <w:tc>
          <w:tcPr>
            <w:tcW w:type="dxa" w:w="198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UAT-07, UAT-08</w:t>
            </w:r>
          </w:p>
        </w:tc>
      </w:tr>
      <w:tr>
        <w:tc>
          <w:tcPr>
            <w:tcW w:type="dxa" w:w="323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PS-05 Unowned High impact</w:t>
            </w:r>
          </w:p>
        </w:tc>
        <w:tc>
          <w:tcPr>
            <w:tcW w:type="dxa" w:w="35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Actions (mandatory)</w:t>
            </w:r>
          </w:p>
        </w:tc>
        <w:tc>
          <w:tcPr>
            <w:tcW w:type="dxa" w:w="11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Direct</w:t>
            </w:r>
          </w:p>
        </w:tc>
        <w:tc>
          <w:tcPr>
            <w:tcW w:type="dxa" w:w="19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UAT-09</w:t>
            </w:r>
          </w:p>
        </w:tc>
      </w:tr>
      <w:tr>
        <w:tc>
          <w:tcPr>
            <w:tcW w:type="dxa" w:w="323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PS-06 Uncontrolled State edits</w:t>
            </w:r>
          </w:p>
        </w:tc>
        <w:tc>
          <w:tcPr>
            <w:tcW w:type="dxa" w:w="356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onCellEdit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script</w:t>
            </w:r>
          </w:p>
        </w:tc>
        <w:tc>
          <w:tcPr>
            <w:tcW w:type="dxa" w:w="116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Direct</w:t>
            </w:r>
          </w:p>
        </w:tc>
        <w:tc>
          <w:tcPr>
            <w:tcW w:type="dxa" w:w="198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UAT-11, UAT-12</w:t>
            </w:r>
          </w:p>
        </w:tc>
      </w:tr>
      <w:tr>
        <w:tc>
          <w:tcPr>
            <w:tcW w:type="dxa" w:w="323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Rules must not stick</w:t>
            </w:r>
          </w:p>
        </w:tc>
        <w:tc>
          <w:tcPr>
            <w:tcW w:type="dxa" w:w="35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Reverse if false</w:t>
            </w:r>
          </w:p>
        </w:tc>
        <w:tc>
          <w:tcPr>
            <w:tcW w:type="dxa" w:w="11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Direct</w:t>
            </w:r>
          </w:p>
        </w:tc>
        <w:tc>
          <w:tcPr>
            <w:tcW w:type="dxa" w:w="19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UAT-10</w:t>
            </w:r>
          </w:p>
        </w:tc>
      </w:tr>
    </w:tbl>
    <w:bookmarkStart w:id="20" w:name="fit-assessment"/>
    <w:p>
      <w:pPr>
        <w:pStyle w:val="Heading2"/>
      </w:pPr>
      <w:r>
        <w:t xml:space="preserve">Fit Assessment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Client-side first</w:t>
      </w:r>
      <w:r>
        <w:t xml:space="preserve"> </w:t>
      </w:r>
      <w:r>
        <w:t xml:space="preserve">is the right choice for fast feedback and a micro-project scope.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Known gap:</w:t>
      </w:r>
      <w:r>
        <w:t xml:space="preserve"> </w:t>
      </w:r>
      <w:r>
        <w:t xml:space="preserve">controls do not apply to data imports, web services or background updates. A server-side Business Rule is the recommended follow-up.</w:t>
      </w:r>
    </w:p>
    <w:bookmarkEnd w:id="20"/>
    <w:bookmarkEnd w:id="21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2026-10-04T09:06:47Z</dcterms:created>
  <dcterms:modified xsi:type="dcterms:W3CDTF">2026-10-04T09:06:47Z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