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oject-planning-template"/>
    <w:p>
      <w:pPr>
        <w:pStyle w:val="Heading1"/>
      </w:pPr>
      <w:r>
        <w:t xml:space="preserve">Project Planning Template</w:t>
      </w:r>
    </w:p>
    <w:p>
      <w:pPr>
        <w:pStyle w:val="FirstParagraph"/>
      </w:pPr>
      <w:r>
        <w:rPr>
          <w:bCs/>
          <w:b/>
        </w:rPr>
        <w:t xml:space="preserve">Project</w:t>
      </w:r>
      <w:r>
        <w:t xml:space="preserve">: Implement Client Script &amp; UI Policy (Incident)</w:t>
      </w:r>
      <w:r>
        <w:br/>
      </w:r>
      <w:r>
        <w:rPr>
          <w:bCs/>
          <w:b/>
        </w:rPr>
        <w:t xml:space="preserve">Document Reference</w:t>
      </w:r>
      <w:r>
        <w:t xml:space="preserve">: PRJ-INC-P4-002</w:t>
      </w:r>
      <w:r>
        <w:br/>
      </w:r>
      <w:r>
        <w:rPr>
          <w:bCs/>
          <w:b/>
        </w:rPr>
        <w:t xml:space="preserve">Milestone</w:t>
      </w:r>
      <w:r>
        <w:t xml:space="preserve">: M3/M4 - Planning</w:t>
      </w:r>
      <w:r>
        <w:br/>
      </w:r>
      <w:r>
        <w:rPr>
          <w:bCs/>
          <w:b/>
        </w:rPr>
        <w:t xml:space="preserve">Owner</w:t>
      </w:r>
      <w:r>
        <w:t xml:space="preserve">: Rahul (Team Lead)</w:t>
      </w:r>
      <w:r>
        <w:br/>
      </w:r>
      <w:r>
        <w:rPr>
          <w:bCs/>
          <w:b/>
        </w:rPr>
        <w:t xml:space="preserve">Status</w:t>
      </w:r>
      <w:r>
        <w:t xml:space="preserve">: Submission Ready</w:t>
      </w:r>
    </w:p>
    <w:p>
      <w:r>
        <w:pict>
          <v:rect style="width:0;height:1.5pt" o:hralign="center" o:hrstd="t" o:hr="t"/>
        </w:pict>
      </w:r>
    </w:p>
    <w:bookmarkStart w:id="20" w:name="sprint-plan-relative-weeks"/>
    <w:p>
      <w:pPr>
        <w:pStyle w:val="Heading2"/>
      </w:pPr>
      <w:r>
        <w:t xml:space="preserve">1. Sprint Plan (relative weeks)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467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Sprint</w:t>
            </w:r>
          </w:p>
        </w:tc>
        <w:tc>
          <w:tcPr>
            <w:tcW w:type="dxa" w:w="3568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Focus</w:t>
            </w:r>
          </w:p>
        </w:tc>
        <w:tc>
          <w:tcPr>
            <w:tcW w:type="dxa" w:w="3900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Output</w:t>
            </w:r>
          </w:p>
        </w:tc>
      </w:tr>
      <w:tr>
        <w:tc>
          <w:tcPr>
            <w:tcW w:type="dxa" w:w="246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Sprint 1 (Week 1)</w:t>
            </w:r>
          </w:p>
        </w:tc>
        <w:tc>
          <w:tcPr>
            <w:tcW w:type="dxa" w:w="356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Ideation and requirements</w:t>
            </w:r>
          </w:p>
        </w:tc>
        <w:tc>
          <w:tcPr>
            <w:tcW w:type="dxa" w:w="390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Phase 1 and Phase 2 documents</w:t>
            </w:r>
          </w:p>
        </w:tc>
      </w:tr>
      <w:tr>
        <w:tc>
          <w:tcPr>
            <w:tcW w:type="dxa" w:w="246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Sprint 2 (Week 2)</w:t>
            </w:r>
          </w:p>
        </w:tc>
        <w:tc>
          <w:tcPr>
            <w:tcW w:type="dxa" w:w="356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Design and planning</w:t>
            </w:r>
          </w:p>
        </w:tc>
        <w:tc>
          <w:tcPr>
            <w:tcW w:type="dxa" w:w="390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Phase 3 and Phase 4 documents</w:t>
            </w:r>
          </w:p>
        </w:tc>
      </w:tr>
      <w:tr>
        <w:tc>
          <w:tcPr>
            <w:tcW w:type="dxa" w:w="246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Sprint 3 (Week 3)</w:t>
            </w:r>
          </w:p>
        </w:tc>
        <w:tc>
          <w:tcPr>
            <w:tcW w:type="dxa" w:w="356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ServiceNow implementation</w:t>
            </w:r>
          </w:p>
        </w:tc>
        <w:tc>
          <w:tcPr>
            <w:tcW w:type="dxa" w:w="390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Policy, 6 client scripts</w:t>
            </w:r>
          </w:p>
        </w:tc>
      </w:tr>
      <w:tr>
        <w:tc>
          <w:tcPr>
            <w:tcW w:type="dxa" w:w="246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Sprint 4 (Week 4)</w:t>
            </w:r>
          </w:p>
        </w:tc>
        <w:tc>
          <w:tcPr>
            <w:tcW w:type="dxa" w:w="356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Testing, documentation, submission</w:t>
            </w:r>
          </w:p>
        </w:tc>
        <w:tc>
          <w:tcPr>
            <w:tcW w:type="dxa" w:w="390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UAT results, FSD, report, GitHub repo</w:t>
            </w:r>
          </w:p>
        </w:tc>
      </w:tr>
    </w:tbl>
    <w:bookmarkEnd w:id="20"/>
    <w:bookmarkStart w:id="21" w:name="raci-matrix"/>
    <w:p>
      <w:pPr>
        <w:pStyle w:val="Heading2"/>
      </w:pPr>
      <w:r>
        <w:t xml:space="preserve">2. RACI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3668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Activity</w:t>
            </w:r>
          </w:p>
        </w:tc>
        <w:tc>
          <w:tcPr>
            <w:tcW w:type="dxa" w:w="1516"/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Rahul</w:t>
            </w:r>
          </w:p>
        </w:tc>
        <w:tc>
          <w:tcPr>
            <w:tcW w:type="dxa" w:w="1576"/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Dinesh Kumar</w:t>
            </w:r>
          </w:p>
        </w:tc>
        <w:tc>
          <w:tcPr>
            <w:tcW w:type="dxa" w:w="1660"/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Abisheknathan</w:t>
            </w:r>
          </w:p>
        </w:tc>
        <w:tc>
          <w:tcPr>
            <w:tcW w:type="dxa" w:w="1516"/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Dakshanraj</w:t>
            </w:r>
          </w:p>
        </w:tc>
      </w:tr>
      <w:tr>
        <w:tc>
          <w:tcPr>
            <w:tcW w:type="dxa" w:w="366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Architecture and coordination</w:t>
            </w:r>
          </w:p>
        </w:tc>
        <w:tc>
          <w:tcPr>
            <w:tcW w:type="dxa" w:w="1516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A/R</w:t>
            </w:r>
          </w:p>
        </w:tc>
        <w:tc>
          <w:tcPr>
            <w:tcW w:type="dxa" w:w="1576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type="dxa" w:w="1660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type="dxa" w:w="1516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I</w:t>
            </w:r>
          </w:p>
        </w:tc>
      </w:tr>
      <w:tr>
        <w:tc>
          <w:tcPr>
            <w:tcW w:type="dxa" w:w="366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 and Actions</w:t>
            </w:r>
          </w:p>
        </w:tc>
        <w:tc>
          <w:tcPr>
            <w:tcW w:type="dxa" w:w="1516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A</w:t>
            </w:r>
          </w:p>
        </w:tc>
        <w:tc>
          <w:tcPr>
            <w:tcW w:type="dxa" w:w="1576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R</w:t>
            </w:r>
          </w:p>
        </w:tc>
        <w:tc>
          <w:tcPr>
            <w:tcW w:type="dxa" w:w="1660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type="dxa" w:w="1516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I</w:t>
            </w:r>
          </w:p>
        </w:tc>
      </w:tr>
      <w:tr>
        <w:tc>
          <w:tcPr>
            <w:tcW w:type="dxa" w:w="366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Client Scripts</w:t>
            </w:r>
          </w:p>
        </w:tc>
        <w:tc>
          <w:tcPr>
            <w:tcW w:type="dxa" w:w="1516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A</w:t>
            </w:r>
          </w:p>
        </w:tc>
        <w:tc>
          <w:tcPr>
            <w:tcW w:type="dxa" w:w="1576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type="dxa" w:w="1660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R</w:t>
            </w:r>
          </w:p>
        </w:tc>
        <w:tc>
          <w:tcPr>
            <w:tcW w:type="dxa" w:w="1516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I</w:t>
            </w:r>
          </w:p>
        </w:tc>
      </w:tr>
      <w:tr>
        <w:tc>
          <w:tcPr>
            <w:tcW w:type="dxa" w:w="366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UAT testing</w:t>
            </w:r>
          </w:p>
        </w:tc>
        <w:tc>
          <w:tcPr>
            <w:tcW w:type="dxa" w:w="1516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A</w:t>
            </w:r>
          </w:p>
        </w:tc>
        <w:tc>
          <w:tcPr>
            <w:tcW w:type="dxa" w:w="1576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type="dxa" w:w="1660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C</w:t>
            </w:r>
          </w:p>
        </w:tc>
        <w:tc>
          <w:tcPr>
            <w:tcW w:type="dxa" w:w="1516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R</w:t>
            </w:r>
          </w:p>
        </w:tc>
      </w:tr>
      <w:tr>
        <w:tc>
          <w:tcPr>
            <w:tcW w:type="dxa" w:w="366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Final report</w:t>
            </w:r>
          </w:p>
        </w:tc>
        <w:tc>
          <w:tcPr>
            <w:tcW w:type="dxa" w:w="1516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A</w:t>
            </w:r>
          </w:p>
        </w:tc>
        <w:tc>
          <w:tcPr>
            <w:tcW w:type="dxa" w:w="1576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I</w:t>
            </w:r>
          </w:p>
        </w:tc>
        <w:tc>
          <w:tcPr>
            <w:tcW w:type="dxa" w:w="1660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I</w:t>
            </w:r>
          </w:p>
        </w:tc>
        <w:tc>
          <w:tcPr>
            <w:tcW w:type="dxa" w:w="1516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R</w:t>
            </w:r>
          </w:p>
        </w:tc>
      </w:tr>
      <w:tr>
        <w:tc>
          <w:tcPr>
            <w:tcW w:type="dxa" w:w="366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GitHub submission</w:t>
            </w:r>
          </w:p>
        </w:tc>
        <w:tc>
          <w:tcPr>
            <w:tcW w:type="dxa" w:w="1516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A/R</w:t>
            </w:r>
          </w:p>
        </w:tc>
        <w:tc>
          <w:tcPr>
            <w:tcW w:type="dxa" w:w="1576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I</w:t>
            </w:r>
          </w:p>
        </w:tc>
        <w:tc>
          <w:tcPr>
            <w:tcW w:type="dxa" w:w="1660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I</w:t>
            </w:r>
          </w:p>
        </w:tc>
        <w:tc>
          <w:tcPr>
            <w:tcW w:type="dxa" w:w="1516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C</w:t>
            </w:r>
          </w:p>
        </w:tc>
      </w:tr>
    </w:tbl>
    <w:p>
      <w:pPr>
        <w:pStyle w:val="BodyText"/>
      </w:pPr>
      <w:r>
        <w:rPr>
          <w:iCs/>
          <w:i/>
        </w:rPr>
        <w:t xml:space="preserve">R = Responsible, A = Accountable, C = Consulted, I = Informed</w:t>
      </w:r>
    </w:p>
    <w:bookmarkEnd w:id="21"/>
    <w:bookmarkStart w:id="22" w:name="risk-register"/>
    <w:p>
      <w:pPr>
        <w:pStyle w:val="Heading2"/>
      </w:pPr>
      <w:r>
        <w:t xml:space="preserve">3. Risk 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899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3249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Risk</w:t>
            </w:r>
          </w:p>
        </w:tc>
        <w:tc>
          <w:tcPr>
            <w:tcW w:type="dxa" w:w="1012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Likelihood</w:t>
            </w:r>
          </w:p>
        </w:tc>
        <w:tc>
          <w:tcPr>
            <w:tcW w:type="dxa" w:w="899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Impact</w:t>
            </w:r>
          </w:p>
        </w:tc>
        <w:tc>
          <w:tcPr>
            <w:tcW w:type="dxa" w:w="3877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Mitigation</w:t>
            </w:r>
          </w:p>
        </w:tc>
      </w:tr>
      <w:tr>
        <w:tc>
          <w:tcPr>
            <w:tcW w:type="dxa" w:w="89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R1</w:t>
            </w:r>
          </w:p>
        </w:tc>
        <w:tc>
          <w:tcPr>
            <w:tcW w:type="dxa" w:w="324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Script overwrites saved values on load</w:t>
            </w:r>
          </w:p>
        </w:tc>
        <w:tc>
          <w:tcPr>
            <w:tcW w:type="dxa" w:w="10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89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3877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isLoading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guard (tested in simulation)</w:t>
            </w:r>
          </w:p>
        </w:tc>
      </w:tr>
      <w:tr>
        <w:tc>
          <w:tcPr>
            <w:tcW w:type="dxa" w:w="89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R2</w:t>
            </w:r>
          </w:p>
        </w:tc>
        <w:tc>
          <w:tcPr>
            <w:tcW w:type="dxa" w:w="324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Assumed choice values differ on the instance</w:t>
            </w:r>
          </w:p>
        </w:tc>
        <w:tc>
          <w:tcPr>
            <w:tcW w:type="dxa" w:w="101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89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387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Verify Impact / Urgency / Priority choice values before go-live</w:t>
            </w:r>
          </w:p>
        </w:tc>
      </w:tr>
      <w:tr>
        <w:tc>
          <w:tcPr>
            <w:tcW w:type="dxa" w:w="89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R3</w:t>
            </w:r>
          </w:p>
        </w:tc>
        <w:tc>
          <w:tcPr>
            <w:tcW w:type="dxa" w:w="324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Users bypass controls via import or API</w:t>
            </w:r>
          </w:p>
        </w:tc>
        <w:tc>
          <w:tcPr>
            <w:tcW w:type="dxa" w:w="10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89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387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Document gap; recommend Business Rule</w:t>
            </w:r>
          </w:p>
        </w:tc>
      </w:tr>
      <w:tr>
        <w:tc>
          <w:tcPr>
            <w:tcW w:type="dxa" w:w="89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R4</w:t>
            </w:r>
          </w:p>
        </w:tc>
        <w:tc>
          <w:tcPr>
            <w:tcW w:type="dxa" w:w="324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 and script conflict on Urgency</w:t>
            </w:r>
          </w:p>
        </w:tc>
        <w:tc>
          <w:tcPr>
            <w:tcW w:type="dxa" w:w="101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89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387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Script sets value, policy only locks field</w:t>
            </w:r>
          </w:p>
        </w:tc>
      </w:tr>
      <w:tr>
        <w:tc>
          <w:tcPr>
            <w:tcW w:type="dxa" w:w="89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R5</w:t>
            </w:r>
          </w:p>
        </w:tc>
        <w:tc>
          <w:tcPr>
            <w:tcW w:type="dxa" w:w="324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Changes made directly in production</w:t>
            </w:r>
          </w:p>
        </w:tc>
        <w:tc>
          <w:tcPr>
            <w:tcW w:type="dxa" w:w="10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89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387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Build in dev instance, move via update set</w:t>
            </w:r>
          </w:p>
        </w:tc>
      </w:tr>
    </w:tbl>
    <w:bookmarkEnd w:id="22"/>
    <w:bookmarkStart w:id="23" w:name="definition-of-done"/>
    <w:p>
      <w:pPr>
        <w:pStyle w:val="Heading2"/>
      </w:pPr>
      <w:r>
        <w:t xml:space="preserve">4. Definition of Done</w:t>
      </w:r>
    </w:p>
    <w:p>
      <w:pPr>
        <w:numPr>
          <w:ilvl w:val="0"/>
          <w:numId w:val="1001"/>
        </w:numPr>
        <w:pStyle w:val="Compact"/>
      </w:pPr>
      <w:r>
        <w:t xml:space="preserve">All 6 scripts and the UI Policy exist on the instance and are active.</w:t>
      </w:r>
    </w:p>
    <w:p>
      <w:pPr>
        <w:numPr>
          <w:ilvl w:val="0"/>
          <w:numId w:val="1001"/>
        </w:numPr>
        <w:pStyle w:val="Compact"/>
      </w:pPr>
      <w:r>
        <w:t xml:space="preserve">All UAT cases executed and evidence attached to</w:t>
      </w:r>
      <w:r>
        <w:t xml:space="preserve"> </w:t>
      </w:r>
      <w:r>
        <w:rPr>
          <w:rStyle w:val="VerbatimChar"/>
        </w:rPr>
        <w:t xml:space="preserve">live_execution_proofs/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python automated_tests/test_repository.py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PROJECT VERIFICATION: PASS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PDF/DOCX and README are committed and pushed to GitHub.</w:t>
      </w:r>
    </w:p>
    <w:bookmarkEnd w:id="23"/>
    <w:bookmarkEnd w:id="24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Implement Client Script &amp; UI Policy (Incident)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2026-10-04T09:06:52Z</dcterms:created>
  <dcterms:modified xsi:type="dcterms:W3CDTF">2026-10-04T09:06:52Z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