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client-script-specifications"/>
    <w:p>
      <w:pPr>
        <w:pStyle w:val="Heading1"/>
      </w:pPr>
      <w:r>
        <w:t xml:space="preserve">Client Script Specifications</w:t>
      </w:r>
    </w:p>
    <w:p>
      <w:pPr>
        <w:pStyle w:val="FirstParagraph"/>
      </w:pPr>
      <w:r>
        <w:rPr>
          <w:bCs/>
          <w:b/>
        </w:rPr>
        <w:t xml:space="preserve">Project</w:t>
      </w:r>
      <w:r>
        <w:t xml:space="preserve">: Implement Client Script &amp; UI Policy (Incident)</w:t>
      </w:r>
      <w:r>
        <w:br/>
      </w:r>
      <w:r>
        <w:rPr>
          <w:bCs/>
          <w:b/>
        </w:rPr>
        <w:t xml:space="preserve">Document Reference</w:t>
      </w:r>
      <w:r>
        <w:t xml:space="preserve">: PRJ-INC-P5-002</w:t>
      </w:r>
      <w:r>
        <w:br/>
      </w:r>
      <w:r>
        <w:rPr>
          <w:bCs/>
          <w:b/>
        </w:rPr>
        <w:t xml:space="preserve">Milestone</w:t>
      </w:r>
      <w:r>
        <w:t xml:space="preserve">: M4 - Implementation</w:t>
      </w:r>
      <w:r>
        <w:br/>
      </w:r>
      <w:r>
        <w:rPr>
          <w:bCs/>
          <w:b/>
        </w:rPr>
        <w:t xml:space="preserve">Owner</w:t>
      </w:r>
      <w:r>
        <w:t xml:space="preserve">: Abisheknathan</w:t>
      </w:r>
      <w:r>
        <w:br/>
      </w:r>
      <w:r>
        <w:rPr>
          <w:bCs/>
          <w:b/>
        </w:rPr>
        <w:t xml:space="preserve">Status</w:t>
      </w:r>
      <w:r>
        <w:t xml:space="preserve">: Submission Ready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All scripts target table</w:t>
      </w:r>
      <w:r>
        <w:t xml:space="preserve"> </w:t>
      </w:r>
      <w:r>
        <w:rPr>
          <w:bCs/>
          <w:b/>
        </w:rPr>
        <w:t xml:space="preserve">Incident [incident]</w:t>
      </w:r>
      <w:r>
        <w:t xml:space="preserve">, are</w:t>
      </w:r>
      <w:r>
        <w:t xml:space="preserve"> </w:t>
      </w:r>
      <w:r>
        <w:rPr>
          <w:bCs/>
          <w:b/>
        </w:rPr>
        <w:t xml:space="preserve">Active</w:t>
      </w:r>
      <w:r>
        <w:t xml:space="preserve">, and use UI Type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onCellEdit</w:t>
      </w:r>
      <w:r>
        <w:t xml:space="preserve"> </w:t>
      </w:r>
      <w:r>
        <w:t xml:space="preserve">script applies to the desktop list). Source files are in</w:t>
      </w:r>
      <w:r>
        <w:t xml:space="preserve"> </w:t>
      </w:r>
      <w:r>
        <w:rPr>
          <w:rStyle w:val="VerbatimChar"/>
        </w:rPr>
        <w:t xml:space="preserve">client_scripts/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tcW w:type="dxa" w:w="70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#</w:t>
            </w:r>
          </w:p>
        </w:tc>
        <w:tc>
          <w:tcPr>
            <w:tcW w:type="dxa" w:w="250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File</w:t>
            </w:r>
          </w:p>
        </w:tc>
        <w:tc>
          <w:tcPr>
            <w:tcW w:type="dxa" w:w="2243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Name</w:t>
            </w:r>
          </w:p>
        </w:tc>
        <w:tc>
          <w:tcPr>
            <w:tcW w:type="dxa" w:w="90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Type</w:t>
            </w:r>
          </w:p>
        </w:tc>
        <w:tc>
          <w:tcPr>
            <w:tcW w:type="dxa" w:w="71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Field</w:t>
            </w:r>
          </w:p>
        </w:tc>
        <w:tc>
          <w:tcPr>
            <w:tcW w:type="dxa" w:w="2859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6"/>
              </w:rPr>
              <w:t xml:space="preserve">Rule</w:t>
            </w:r>
          </w:p>
        </w:tc>
      </w:tr>
      <w:tr>
        <w:tc>
          <w:tcPr>
            <w:tcW w:type="dxa" w:w="70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1</w:t>
            </w:r>
          </w:p>
        </w:tc>
        <w:tc>
          <w:tcPr>
            <w:tcW w:type="dxa" w:w="250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6"/>
              </w:rPr>
              <w:t xml:space="preserve">01_onLoad_incident_form_init.js</w:t>
            </w:r>
          </w:p>
        </w:tc>
        <w:tc>
          <w:tcPr>
            <w:tcW w:type="dxa" w:w="224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- Init on load</w:t>
            </w:r>
          </w:p>
        </w:tc>
        <w:tc>
          <w:tcPr>
            <w:tcW w:type="dxa" w:w="9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onLoad</w:t>
            </w:r>
          </w:p>
        </w:tc>
        <w:tc>
          <w:tcPr>
            <w:tcW w:type="dxa" w:w="7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-</w:t>
            </w:r>
          </w:p>
        </w:tc>
        <w:tc>
          <w:tcPr>
            <w:tcW w:type="dxa" w:w="28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Urgency = High if Impact = High; show note if Priority = 1</w:t>
            </w:r>
          </w:p>
        </w:tc>
      </w:tr>
      <w:tr>
        <w:tc>
          <w:tcPr>
            <w:tcW w:type="dxa" w:w="70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2</w:t>
            </w:r>
          </w:p>
        </w:tc>
        <w:tc>
          <w:tcPr>
            <w:tcW w:type="dxa" w:w="250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6"/>
              </w:rPr>
              <w:t xml:space="preserve">02_onChange_category_clear_subcategory.js</w:t>
            </w:r>
          </w:p>
        </w:tc>
        <w:tc>
          <w:tcPr>
            <w:tcW w:type="dxa" w:w="224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- Clear Subcategory</w:t>
            </w:r>
          </w:p>
        </w:tc>
        <w:tc>
          <w:tcPr>
            <w:tcW w:type="dxa" w:w="90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onChange</w:t>
            </w:r>
          </w:p>
        </w:tc>
        <w:tc>
          <w:tcPr>
            <w:tcW w:type="dxa" w:w="7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Category</w:t>
            </w:r>
          </w:p>
        </w:tc>
        <w:tc>
          <w:tcPr>
            <w:tcW w:type="dxa" w:w="285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Clear Subcategory when Category changes</w:t>
            </w:r>
          </w:p>
        </w:tc>
      </w:tr>
      <w:tr>
        <w:tc>
          <w:tcPr>
            <w:tcW w:type="dxa" w:w="70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3</w:t>
            </w:r>
          </w:p>
        </w:tc>
        <w:tc>
          <w:tcPr>
            <w:tcW w:type="dxa" w:w="250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6"/>
              </w:rPr>
              <w:t xml:space="preserve">03_onChange_priority_critical_warning.js</w:t>
            </w:r>
          </w:p>
        </w:tc>
        <w:tc>
          <w:tcPr>
            <w:tcW w:type="dxa" w:w="224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- Critical Priority Warning</w:t>
            </w:r>
          </w:p>
        </w:tc>
        <w:tc>
          <w:tcPr>
            <w:tcW w:type="dxa" w:w="9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onChange</w:t>
            </w:r>
          </w:p>
        </w:tc>
        <w:tc>
          <w:tcPr>
            <w:tcW w:type="dxa" w:w="7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Priority</w:t>
            </w:r>
          </w:p>
        </w:tc>
        <w:tc>
          <w:tcPr>
            <w:tcW w:type="dxa" w:w="28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Show warning for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1</w:t>
            </w:r>
            <w:r>
              <w:rPr>
                <w:sz w:val="16"/>
              </w:rPr>
              <w:t xml:space="preserve">; hide otherwise</w:t>
            </w:r>
          </w:p>
        </w:tc>
      </w:tr>
      <w:tr>
        <w:tc>
          <w:tcPr>
            <w:tcW w:type="dxa" w:w="70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4</w:t>
            </w:r>
          </w:p>
        </w:tc>
        <w:tc>
          <w:tcPr>
            <w:tcW w:type="dxa" w:w="250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6"/>
              </w:rPr>
              <w:t xml:space="preserve">04_onChange_impact_set_urgency_high.js</w:t>
            </w:r>
          </w:p>
        </w:tc>
        <w:tc>
          <w:tcPr>
            <w:tcW w:type="dxa" w:w="224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- Impact sets Urgency</w:t>
            </w:r>
          </w:p>
        </w:tc>
        <w:tc>
          <w:tcPr>
            <w:tcW w:type="dxa" w:w="90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onChange</w:t>
            </w:r>
          </w:p>
        </w:tc>
        <w:tc>
          <w:tcPr>
            <w:tcW w:type="dxa" w:w="7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Impact</w:t>
            </w:r>
          </w:p>
        </w:tc>
        <w:tc>
          <w:tcPr>
            <w:tcW w:type="dxa" w:w="285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Impact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1</w:t>
            </w:r>
            <w:r>
              <w:rPr>
                <w:sz w:val="16"/>
              </w:rPr>
              <w:t xml:space="preserve"> </w:t>
            </w:r>
            <w:r>
              <w:rPr>
                <w:sz w:val="16"/>
              </w:rPr>
              <w:t xml:space="preserve">sets Urgency</w:t>
            </w:r>
            <w:r>
              <w:rPr>
                <w:sz w:val="16"/>
              </w:rPr>
              <w:t xml:space="preserve"> </w:t>
            </w:r>
            <w:r>
              <w:rPr>
                <w:rStyle w:val="VerbatimChar"/>
                <w:sz w:val="16"/>
              </w:rPr>
              <w:t xml:space="preserve">1</w:t>
            </w:r>
            <w:r>
              <w:rPr>
                <w:sz w:val="16"/>
              </w:rPr>
              <w:t xml:space="preserve">; hide message otherwise</w:t>
            </w:r>
          </w:p>
        </w:tc>
      </w:tr>
      <w:tr>
        <w:tc>
          <w:tcPr>
            <w:tcW w:type="dxa" w:w="70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5</w:t>
            </w:r>
          </w:p>
        </w:tc>
        <w:tc>
          <w:tcPr>
            <w:tcW w:type="dxa" w:w="2504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6"/>
              </w:rPr>
              <w:t xml:space="preserve">05_onSubmit_validate_short_description.js</w:t>
            </w:r>
          </w:p>
        </w:tc>
        <w:tc>
          <w:tcPr>
            <w:tcW w:type="dxa" w:w="2243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- Validate Short description</w:t>
            </w:r>
          </w:p>
        </w:tc>
        <w:tc>
          <w:tcPr>
            <w:tcW w:type="dxa" w:w="902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onSubmit</w:t>
            </w:r>
          </w:p>
        </w:tc>
        <w:tc>
          <w:tcPr>
            <w:tcW w:type="dxa" w:w="71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-</w:t>
            </w:r>
          </w:p>
        </w:tc>
        <w:tc>
          <w:tcPr>
            <w:tcW w:type="dxa" w:w="2859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Block blank or under 10 characters</w:t>
            </w:r>
          </w:p>
        </w:tc>
      </w:tr>
      <w:tr>
        <w:tc>
          <w:tcPr>
            <w:tcW w:type="dxa" w:w="70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6</w:t>
            </w:r>
          </w:p>
        </w:tc>
        <w:tc>
          <w:tcPr>
            <w:tcW w:type="dxa" w:w="250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6"/>
              </w:rPr>
              <w:t xml:space="preserve">06_onCellEdit_block_state_list_edit.js</w:t>
            </w:r>
          </w:p>
        </w:tc>
        <w:tc>
          <w:tcPr>
            <w:tcW w:type="dxa" w:w="2243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Incident - Block State list edit</w:t>
            </w:r>
          </w:p>
        </w:tc>
        <w:tc>
          <w:tcPr>
            <w:tcW w:type="dxa" w:w="90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onCellEdit</w:t>
            </w:r>
          </w:p>
        </w:tc>
        <w:tc>
          <w:tcPr>
            <w:tcW w:type="dxa" w:w="71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State</w:t>
            </w:r>
          </w:p>
        </w:tc>
        <w:tc>
          <w:tcPr>
            <w:tcW w:type="dxa" w:w="2859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6"/>
              </w:rPr>
              <w:t xml:space="preserve">Reject inline State change</w:t>
            </w:r>
          </w:p>
        </w:tc>
      </w:tr>
    </w:tbl>
    <w:bookmarkStart w:id="20" w:name="key-g_form-methods-used"/>
    <w:p>
      <w:pPr>
        <w:pStyle w:val="Heading2"/>
      </w:pPr>
      <w:r>
        <w:t xml:space="preserve">Key</w:t>
      </w:r>
      <w:r>
        <w:t xml:space="preserve"> </w:t>
      </w:r>
      <w:r>
        <w:rPr>
          <w:rStyle w:val="VerbatimChar"/>
        </w:rPr>
        <w:t xml:space="preserve">g_form</w:t>
      </w:r>
      <w:r>
        <w:t xml:space="preserve"> </w:t>
      </w:r>
      <w:r>
        <w:t xml:space="preserve">Methods Used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color="9AA5B1"/>
          <w:left w:val="single" w:sz="4" w:color="9AA5B1"/>
          <w:bottom w:val="single" w:sz="4" w:color="9AA5B1"/>
          <w:right w:val="single" w:sz="4" w:color="9AA5B1"/>
          <w:insideH w:val="single" w:sz="4" w:color="9AA5B1"/>
          <w:insideV w:val="single" w:sz="4" w:color="9AA5B1"/>
        </w:tblBorders>
        <w:tblLayout w:type="fixed"/>
      </w:tblPr>
      <w:tblGrid>
        <w:gridCol w:w="3960"/>
        <w:gridCol w:w="3960"/>
      </w:tblGrid>
      <w:tr>
        <w:trPr>
          <w:tblHeader w:val="true"/>
        </w:trPr>
        <w:tc>
          <w:tcPr>
            <w:tcW w:type="dxa" w:w="4732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Method</w:t>
            </w:r>
          </w:p>
        </w:tc>
        <w:tc>
          <w:tcPr>
            <w:tcW w:type="dxa" w:w="5204"/>
            <w:shd w:val="clear" w:color="auto" w:fill="1F3A5F"/>
          </w:tcPr>
          <w:p>
            <w:pPr>
              <w:pStyle w:val="Compact"/>
              <w:spacing w:after="20" w:before="20"/>
              <w:jc w:val="left"/>
            </w:pPr>
            <w:r>
              <w:rPr>
                <w:b/>
                <w:color w:val="FFFFFF"/>
                <w:sz w:val="18"/>
              </w:rPr>
              <w:t xml:space="preserve">Purpose</w:t>
            </w:r>
          </w:p>
        </w:tc>
      </w:tr>
      <w:tr>
        <w:tc>
          <w:tcPr>
            <w:tcW w:type="dxa" w:w="473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getValue(field)</w:t>
            </w:r>
          </w:p>
        </w:tc>
        <w:tc>
          <w:tcPr>
            <w:tcW w:type="dxa" w:w="520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Read the current value</w:t>
            </w:r>
          </w:p>
        </w:tc>
      </w:tr>
      <w:tr>
        <w:tc>
          <w:tcPr>
            <w:tcW w:type="dxa" w:w="473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setValue(field, value)</w:t>
            </w:r>
          </w:p>
        </w:tc>
        <w:tc>
          <w:tcPr>
            <w:tcW w:type="dxa" w:w="520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Set a value (works on read-only fields)</w:t>
            </w:r>
          </w:p>
        </w:tc>
      </w:tr>
      <w:tr>
        <w:tc>
          <w:tcPr>
            <w:tcW w:type="dxa" w:w="473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clearValue(field)</w:t>
            </w:r>
          </w:p>
        </w:tc>
        <w:tc>
          <w:tcPr>
            <w:tcW w:type="dxa" w:w="520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Empty a field</w:t>
            </w:r>
          </w:p>
        </w:tc>
      </w:tr>
      <w:tr>
        <w:tc>
          <w:tcPr>
            <w:tcW w:type="dxa" w:w="4732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showFieldMsg / hideFieldMsg</w:t>
            </w:r>
          </w:p>
        </w:tc>
        <w:tc>
          <w:tcPr>
            <w:tcW w:type="dxa" w:w="5204"/>
            <w:shd w:val="clear" w:color="auto" w:fill="F2F6FA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Message under a field</w:t>
            </w:r>
          </w:p>
        </w:tc>
      </w:tr>
      <w:tr>
        <w:tc>
          <w:tcPr>
            <w:tcW w:type="dxa" w:w="4732"/>
          </w:tcPr>
          <w:p>
            <w:pPr>
              <w:pStyle w:val="Compact"/>
              <w:spacing w:after="20" w:before="20"/>
              <w:jc w:val="left"/>
            </w:pPr>
            <w:r>
              <w:rPr>
                <w:rStyle w:val="VerbatimChar"/>
                <w:sz w:val="18"/>
              </w:rPr>
              <w:t xml:space="preserve">addInfoMessage / addErrorMessage</w:t>
            </w:r>
          </w:p>
        </w:tc>
        <w:tc>
          <w:tcPr>
            <w:tcW w:type="dxa" w:w="5204"/>
          </w:tcPr>
          <w:p>
            <w:pPr>
              <w:pStyle w:val="Compact"/>
              <w:spacing w:after="20" w:before="20"/>
              <w:jc w:val="left"/>
            </w:pPr>
            <w:r>
              <w:rPr>
                <w:sz w:val="18"/>
              </w:rPr>
              <w:t xml:space="preserve">Banner at top of the form</w:t>
            </w:r>
          </w:p>
        </w:tc>
      </w:tr>
    </w:tbl>
    <w:bookmarkEnd w:id="20"/>
    <w:bookmarkStart w:id="21" w:name="coding-standards-followed"/>
    <w:p>
      <w:pPr>
        <w:pStyle w:val="Heading2"/>
      </w:pPr>
      <w:r>
        <w:t xml:space="preserve">Coding Standards Followed</w:t>
      </w:r>
    </w:p>
    <w:p>
      <w:pPr>
        <w:numPr>
          <w:ilvl w:val="0"/>
          <w:numId w:val="1001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onChange</w:t>
      </w:r>
      <w:r>
        <w:t xml:space="preserve"> </w:t>
      </w:r>
      <w:r>
        <w:t xml:space="preserve">returns early when</w:t>
      </w:r>
      <w:r>
        <w:t xml:space="preserve"> </w:t>
      </w:r>
      <w:r>
        <w:rPr>
          <w:rStyle w:val="VerbatimChar"/>
        </w:rPr>
        <w:t xml:space="preserve">isLoading</w:t>
      </w:r>
      <w:r>
        <w:t xml:space="preserve"> </w:t>
      </w:r>
      <w:r>
        <w:t xml:space="preserve">is true.</w:t>
      </w:r>
    </w:p>
    <w:p>
      <w:pPr>
        <w:numPr>
          <w:ilvl w:val="0"/>
          <w:numId w:val="1001"/>
        </w:numPr>
        <w:pStyle w:val="Compact"/>
      </w:pPr>
      <w:r>
        <w:t xml:space="preserve">Choice values are compared as strings (</w:t>
      </w:r>
      <w:r>
        <w:rPr>
          <w:rStyle w:val="VerbatimChar"/>
        </w:rPr>
        <w:t xml:space="preserve">'1'</w:t>
      </w:r>
      <w:r>
        <w:t xml:space="preserve">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onSubmit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to block and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to continue.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onCellEdit</w:t>
      </w:r>
      <w:r>
        <w:t xml:space="preserve"> </w:t>
      </w:r>
      <w:r>
        <w:t xml:space="preserve">always calls</w:t>
      </w:r>
      <w:r>
        <w:t xml:space="preserve"> </w:t>
      </w:r>
      <w:r>
        <w:rPr>
          <w:rStyle w:val="VerbatimChar"/>
        </w:rPr>
        <w:t xml:space="preserve">callback(...)</w:t>
      </w:r>
      <w:r>
        <w:t xml:space="preserve"> </w:t>
      </w:r>
      <w:r>
        <w:t xml:space="preserve">exactly once.</w:t>
      </w:r>
    </w:p>
    <w:p>
      <w:pPr>
        <w:numPr>
          <w:ilvl w:val="0"/>
          <w:numId w:val="1001"/>
        </w:numPr>
        <w:pStyle w:val="Compact"/>
      </w:pPr>
      <w:r>
        <w:t xml:space="preserve">Messages are single sentences with a clear action.</w:t>
      </w:r>
    </w:p>
    <w:bookmarkEnd w:id="21"/>
    <w:bookmarkStart w:id="22" w:name="offline-verification"/>
    <w:p>
      <w:pPr>
        <w:pStyle w:val="Heading2"/>
      </w:pPr>
      <w:r>
        <w:t xml:space="preserve">Offline Verification</w:t>
      </w:r>
    </w:p>
    <w:p>
      <w:pPr>
        <w:pStyle w:val="FirstParagraph"/>
      </w:pPr>
      <w:r>
        <w:rPr>
          <w:rStyle w:val="VerbatimChar"/>
        </w:rPr>
        <w:t xml:space="preserve">automated_tests/client_script_simulation.js</w:t>
      </w:r>
      <w:r>
        <w:t xml:space="preserve"> </w:t>
      </w:r>
      <w:r>
        <w:t xml:space="preserve">loads each file against a mocked</w:t>
      </w:r>
      <w:r>
        <w:t xml:space="preserve"> </w:t>
      </w:r>
      <w:r>
        <w:rPr>
          <w:rStyle w:val="VerbatimChar"/>
        </w:rPr>
        <w:t xml:space="preserve">g_form</w:t>
      </w:r>
      <w:r>
        <w:t xml:space="preserve"> </w:t>
      </w:r>
      <w:r>
        <w:t xml:space="preserve">and checks 15 behaviours.</w:t>
      </w:r>
    </w:p>
    <w:bookmarkEnd w:id="22"/>
    <w:bookmarkEnd w:id="23"/>
    <w:sectPr>
      <w:footerReference w:type="default" r:id="rId9"/>
      <w:pgMar w:bottom="1152" w:left="1152" w:right="1152" w:top="115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666666"/>
        <w:sz w:val="16"/>
      </w:rPr>
      <w:t xml:space="preserve">Implement Client Script &amp; UI Policy (Incident)  |  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Theme="majorEastAsia" w:hAnsi="Calibri" w:hAnsiTheme="majorHAnsi"/>
      <w:b/>
      <w:bCs/>
      <w:color w:val="1F3A5F"/>
      <w:sz w:val="48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3A5F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3A5F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3A5F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2026-10-04T09:06:54Z</dcterms:created>
  <dcterms:modified xsi:type="dcterms:W3CDTF">2026-10-04T09:06:54Z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