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32" w:line="259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EMERALD AI x ASTON MARTIN F1 BRIEF</w:t>
      </w:r>
    </w:p>
    <w:p>
      <w:pPr>
        <w:spacing w:after="1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29 October 2026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account: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Emerald AI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Investor: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Aramco is an investor in Emerald AI.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Industry: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Flexible power for AI data centres.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they do: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Emerald AI helps AI data centres operate as flexible, grid-responsive loads. Its platform coordinates power demand with grid conditions while protecting the performance of AI workloads. The commercial story is not simply energy efficiency: it is faster, more scalable AI infrastructure deployment by making data-centre demand more compatible with the power system.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customers: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CEOs and CTOs at hyperscalers, neoclouds, data-centre developers/operators and utilities.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markets: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Near term: UK, Japan and USA. Longer term: Singapore and Korea (high), Saudi Arabia and UAE (medium-high), Germany and France (low).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 objective: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Executive access. Repeated face-to-face time with relevant partners and other invited executives is the primary F1 value driver. Brand exposure is secondary to building qualified CEO/CTO relationships, pipeline and signed MOUs.</w:t>
      </w:r>
    </w:p>
    <w:p>
      <w:pPr>
        <w:keepNext/>
        <w:spacing w:after="0" w:line="259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Marketing rights (must have):</w:t>
      </w:r>
    </w:p>
    <w:p>
      <w:pPr>
        <w:pStyle w:val="ListParagraph"/>
        <w:numPr>
          <w:ilvl w:val="0"/>
          <w:numId w:val="2"/>
        </w:numPr>
        <w:spacing w:after="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Race hospitality for priority clients and prospects</w:t>
      </w:r>
    </w:p>
    <w:p>
      <w:pPr>
        <w:pStyle w:val="ListParagraph"/>
        <w:numPr>
          <w:ilvl w:val="0"/>
          <w:numId w:val="2"/>
        </w:numPr>
        <w:spacing w:after="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CEO forums and co-sponsor introductions</w:t>
      </w:r>
    </w:p>
    <w:p>
      <w:pPr>
        <w:pStyle w:val="ListParagraph"/>
        <w:numPr>
          <w:ilvl w:val="0"/>
          <w:numId w:val="2"/>
        </w:numPr>
        <w:spacing w:after="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Technology collaboration and case studies</w:t>
      </w:r>
    </w:p>
    <w:p>
      <w:pPr>
        <w:pStyle w:val="ListParagraph"/>
        <w:numPr>
          <w:ilvl w:val="0"/>
          <w:numId w:val="2"/>
        </w:numPr>
        <w:spacing w:after="1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Driver, team principal and senior-team access where it supports executive engagement</w:t>
      </w:r>
    </w:p>
    <w:p>
      <w:pPr>
        <w:spacing w:after="160" w:line="25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 particular interest: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“AMR Network” and the inaugural Technology Forum held at the newly constructed AMR Technology Campus (AMRTC) in Silverstone, UK.</w:t>
      </w:r>
    </w:p>
    <w:sectPr>
      <w:headerReference w:type="default" r:id="rId7"/>
      <w:pgSz w:w="11906" w:h="16838" w:orient="portrait"/>
      <w:pgMar w:top="2020" w:right="720" w:bottom="1440" w:left="720" w:header="11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left="204"/>
    </w:pPr>
    <w:r>
      <w:drawing>
        <wp:inline distT="0" distB="0" distL="0" distR="0">
          <wp:extent cx="1185863" cy="241935"/>
          <wp:effectExtent t="0" r="0" b="0" l="0"/>
          <wp:docPr id="1" name="SPORTFIVE logo" descr="SPORTFIVE logo" title="SPORTFIV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5863" cy="241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9cb1002c63047ff2c8c3c0b076e16bf19ceca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EMERALD AI x ASTON MARTIN F1 BRIEF</dc:title>
  <dc:creator>SPORTFIVE</dc:creator>
  <cp:lastModifiedBy>Un-named</cp:lastModifiedBy>
  <cp:revision>1</cp:revision>
  <dcterms:created xsi:type="dcterms:W3CDTF">2026-10-29T07:35:46.815Z</dcterms:created>
  <dcterms:modified xsi:type="dcterms:W3CDTF">2026-10-29T07:35:46.815Z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