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line="264" w:lineRule="auto"/>
      </w:pPr>
      <w:r>
        <w:rPr>
          <w:rFonts w:ascii="Calibri" w:hAnsi="Calibri"/>
          <w:b/>
          <w:i w:val="0"/>
          <w:color w:val="2E74B5"/>
          <w:sz w:val="21"/>
        </w:rPr>
        <w:t>POLICY &amp; COMPLIANCE PACKAGE</w:t>
      </w:r>
    </w:p>
    <w:p>
      <w:pPr>
        <w:pStyle w:val="Title"/>
      </w:pPr>
      <w:r>
        <w:rPr>
          <w:rFonts w:ascii="Calibri" w:hAnsi="Calibri"/>
          <w:b/>
          <w:i w:val="0"/>
          <w:color w:val="17365D"/>
          <w:sz w:val="50"/>
        </w:rPr>
        <w:t>Privacy, Personal Data Protection</w:t>
        <w:br/>
        <w:t>and Data Retention Policy</w:t>
      </w:r>
    </w:p>
    <w:p>
      <w:pPr>
        <w:spacing w:after="360" w:line="264" w:lineRule="auto"/>
      </w:pPr>
      <w:r>
        <w:rPr>
          <w:rFonts w:ascii="Calibri" w:hAnsi="Calibri"/>
          <w:b w:val="0"/>
          <w:i w:val="0"/>
          <w:color w:val="1F4D78"/>
          <w:sz w:val="28"/>
        </w:rPr>
        <w:t>Kashyap Gotra Adhikari Genealogy &amp; Community Platform</w:t>
      </w:r>
    </w:p>
    <w:tbl>
      <w:tblPr>
        <w:tblStyle w:val="TableGrid"/>
        <w:tblW w:type="dxa" w:w="9360"/>
        <w:tblLayout w:type="fixed"/>
        <w:tblLook w:firstColumn="1" w:firstRow="1" w:lastColumn="0" w:lastRow="0" w:noHBand="0" w:noVBand="1" w:val="04A0"/>
        <w:jc w:val="left"/>
        <w:tblInd w:w="120" w:type="dxa"/>
        <w:tblInd w:w="120" w:type="dxa"/>
      </w:tblPr>
      <w:tblGrid>
        <w:gridCol w:w="2700"/>
        <w:gridCol w:w="6660"/>
      </w:tblGrid>
      <w:tr>
        <w:trPr>
          <w:tblHeader w:val="true"/>
        </w:trPr>
        <w:tc>
          <w:tcPr>
            <w:tcW w:type="dxa" w:w="2700"/>
            <w:vAlign w:val="top"/>
            <w:tcMar>
              <w:top w:w="80" w:type="dxa"/>
              <w:start w:w="120" w:type="dxa"/>
              <w:bottom w:w="80" w:type="dxa"/>
              <w:end w:w="120" w:type="dxa"/>
            </w:tcMar>
            <w:shd w:fill="E8EEF5"/>
          </w:tcPr>
          <w:p>
            <w:pPr>
              <w:spacing w:after="0"/>
            </w:pPr>
            <w:r>
              <w:rPr>
                <w:rFonts w:ascii="Calibri" w:hAnsi="Calibri"/>
                <w:b/>
                <w:i w:val="0"/>
                <w:color w:val="17365D"/>
                <w:sz w:val="19"/>
              </w:rPr>
              <w:t>Document control</w:t>
            </w:r>
          </w:p>
        </w:tc>
        <w:tc>
          <w:tcPr>
            <w:tcW w:type="dxa" w:w="6660"/>
            <w:vAlign w:val="top"/>
            <w:tcMar>
              <w:top w:w="80" w:type="dxa"/>
              <w:start w:w="120" w:type="dxa"/>
              <w:bottom w:w="80" w:type="dxa"/>
              <w:end w:w="120" w:type="dxa"/>
            </w:tcMar>
            <w:shd w:fill="E8EEF5"/>
          </w:tcPr>
          <w:p>
            <w:pPr>
              <w:spacing w:after="0"/>
            </w:pPr>
            <w:r>
              <w:rPr>
                <w:rFonts w:ascii="Calibri" w:hAnsi="Calibri"/>
                <w:b/>
                <w:i w:val="0"/>
                <w:color w:val="17365D"/>
                <w:sz w:val="19"/>
              </w:rPr>
              <w:t>Value</w:t>
            </w:r>
          </w:p>
        </w:tc>
      </w:tr>
      <w:tr>
        <w:tc>
          <w:tcPr>
            <w:tcW w:type="dxa" w:w="2700"/>
            <w:vAlign w:val="top"/>
            <w:tcMar>
              <w:top w:w="80" w:type="dxa"/>
              <w:start w:w="120" w:type="dxa"/>
              <w:bottom w:w="80" w:type="dxa"/>
              <w:end w:w="120" w:type="dxa"/>
            </w:tcMar>
          </w:tcPr>
          <w:p>
            <w:pPr>
              <w:spacing w:after="0" w:line="240" w:lineRule="auto"/>
            </w:pPr>
            <w:r>
              <w:rPr>
                <w:rFonts w:ascii="Calibri" w:hAnsi="Calibri"/>
                <w:b w:val="0"/>
                <w:i w:val="0"/>
                <w:color w:val="000000"/>
                <w:sz w:val="19"/>
              </w:rPr>
              <w:t>Version</w:t>
            </w:r>
          </w:p>
        </w:tc>
        <w:tc>
          <w:tcPr>
            <w:tcW w:type="dxa" w:w="6660"/>
            <w:vAlign w:val="top"/>
            <w:tcMar>
              <w:top w:w="80" w:type="dxa"/>
              <w:start w:w="120" w:type="dxa"/>
              <w:bottom w:w="80" w:type="dxa"/>
              <w:end w:w="120" w:type="dxa"/>
            </w:tcMar>
          </w:tcPr>
          <w:p>
            <w:pPr>
              <w:spacing w:after="0" w:line="240" w:lineRule="auto"/>
            </w:pPr>
            <w:r>
              <w:rPr>
                <w:rFonts w:ascii="Calibri" w:hAnsi="Calibri"/>
                <w:b w:val="0"/>
                <w:i w:val="0"/>
                <w:color w:val="000000"/>
                <w:sz w:val="17"/>
              </w:rPr>
              <w:t>1.0 - owner-approved SDLC baseline</w:t>
            </w:r>
          </w:p>
        </w:tc>
      </w:tr>
      <w:tr>
        <w:tc>
          <w:tcPr>
            <w:tcW w:type="dxa" w:w="2700"/>
            <w:vAlign w:val="top"/>
            <w:tcMar>
              <w:top w:w="80" w:type="dxa"/>
              <w:start w:w="120" w:type="dxa"/>
              <w:bottom w:w="80" w:type="dxa"/>
              <w:end w:w="120" w:type="dxa"/>
            </w:tcMar>
          </w:tcPr>
          <w:p>
            <w:pPr>
              <w:spacing w:after="0" w:line="240" w:lineRule="auto"/>
            </w:pPr>
            <w:r>
              <w:rPr>
                <w:rFonts w:ascii="Calibri" w:hAnsi="Calibri"/>
                <w:b w:val="0"/>
                <w:i w:val="0"/>
                <w:color w:val="000000"/>
                <w:sz w:val="19"/>
              </w:rPr>
              <w:t>Prepared</w:t>
            </w:r>
          </w:p>
        </w:tc>
        <w:tc>
          <w:tcPr>
            <w:tcW w:type="dxa" w:w="6660"/>
            <w:vAlign w:val="top"/>
            <w:tcMar>
              <w:top w:w="80" w:type="dxa"/>
              <w:start w:w="120" w:type="dxa"/>
              <w:bottom w:w="80" w:type="dxa"/>
              <w:end w:w="120" w:type="dxa"/>
            </w:tcMar>
          </w:tcPr>
          <w:p>
            <w:pPr>
              <w:spacing w:after="0" w:line="240" w:lineRule="auto"/>
            </w:pPr>
            <w:r>
              <w:rPr>
                <w:rFonts w:ascii="Calibri" w:hAnsi="Calibri"/>
                <w:b w:val="0"/>
                <w:i w:val="0"/>
                <w:color w:val="000000"/>
                <w:sz w:val="17"/>
              </w:rPr>
              <w:t>8 September 2026</w:t>
            </w:r>
          </w:p>
        </w:tc>
      </w:tr>
      <w:tr>
        <w:tc>
          <w:tcPr>
            <w:tcW w:type="dxa" w:w="2700"/>
            <w:vAlign w:val="top"/>
            <w:tcMar>
              <w:top w:w="80" w:type="dxa"/>
              <w:start w:w="120" w:type="dxa"/>
              <w:bottom w:w="80" w:type="dxa"/>
              <w:end w:w="120" w:type="dxa"/>
            </w:tcMar>
          </w:tcPr>
          <w:p>
            <w:pPr>
              <w:spacing w:after="0" w:line="240" w:lineRule="auto"/>
            </w:pPr>
            <w:r>
              <w:rPr>
                <w:rFonts w:ascii="Calibri" w:hAnsi="Calibri"/>
                <w:b w:val="0"/>
                <w:i w:val="0"/>
                <w:color w:val="000000"/>
                <w:sz w:val="19"/>
              </w:rPr>
              <w:t>Applies to</w:t>
            </w:r>
          </w:p>
        </w:tc>
        <w:tc>
          <w:tcPr>
            <w:tcW w:type="dxa" w:w="6660"/>
            <w:vAlign w:val="top"/>
            <w:tcMar>
              <w:top w:w="80" w:type="dxa"/>
              <w:start w:w="120" w:type="dxa"/>
              <w:bottom w:w="80" w:type="dxa"/>
              <w:end w:w="120" w:type="dxa"/>
            </w:tcMar>
          </w:tcPr>
          <w:p>
            <w:pPr>
              <w:spacing w:after="0" w:line="240" w:lineRule="auto"/>
            </w:pPr>
            <w:r>
              <w:rPr>
                <w:rFonts w:ascii="Calibri" w:hAnsi="Calibri"/>
                <w:b w:val="0"/>
                <w:i w:val="0"/>
                <w:color w:val="000000"/>
                <w:sz w:val="19"/>
              </w:rPr>
              <w:t>Mobile apps, web administration, APIs, databases, backups, analytics, messaging and operational support</w:t>
            </w:r>
          </w:p>
        </w:tc>
      </w:tr>
      <w:tr>
        <w:tc>
          <w:tcPr>
            <w:tcW w:type="dxa" w:w="2700"/>
            <w:vAlign w:val="top"/>
            <w:tcMar>
              <w:top w:w="80" w:type="dxa"/>
              <w:start w:w="120" w:type="dxa"/>
              <w:bottom w:w="80" w:type="dxa"/>
              <w:end w:w="120" w:type="dxa"/>
            </w:tcMar>
          </w:tcPr>
          <w:p>
            <w:pPr>
              <w:spacing w:after="0" w:line="240" w:lineRule="auto"/>
            </w:pPr>
            <w:r>
              <w:rPr>
                <w:rFonts w:ascii="Calibri" w:hAnsi="Calibri"/>
                <w:b w:val="0"/>
                <w:i w:val="0"/>
                <w:color w:val="000000"/>
                <w:sz w:val="19"/>
              </w:rPr>
              <w:t>Release</w:t>
            </w:r>
          </w:p>
        </w:tc>
        <w:tc>
          <w:tcPr>
            <w:tcW w:type="dxa" w:w="6660"/>
            <w:vAlign w:val="top"/>
            <w:tcMar>
              <w:top w:w="80" w:type="dxa"/>
              <w:start w:w="120" w:type="dxa"/>
              <w:bottom w:w="80" w:type="dxa"/>
              <w:end w:w="120" w:type="dxa"/>
            </w:tcMar>
          </w:tcPr>
          <w:p>
            <w:pPr>
              <w:spacing w:after="0" w:line="240" w:lineRule="auto"/>
            </w:pPr>
            <w:r>
              <w:rPr>
                <w:rFonts w:ascii="Calibri" w:hAnsi="Calibri"/>
                <w:b w:val="0"/>
                <w:i w:val="0"/>
                <w:color w:val="000000"/>
                <w:sz w:val="19"/>
              </w:rPr>
              <w:t>Release 1.0 - mandatory launch governance</w:t>
            </w:r>
          </w:p>
        </w:tc>
      </w:tr>
      <w:tr>
        <w:tc>
          <w:tcPr>
            <w:tcW w:type="dxa" w:w="2700"/>
            <w:vAlign w:val="top"/>
            <w:tcMar>
              <w:top w:w="80" w:type="dxa"/>
              <w:start w:w="120" w:type="dxa"/>
              <w:bottom w:w="80" w:type="dxa"/>
              <w:end w:w="120" w:type="dxa"/>
            </w:tcMar>
          </w:tcPr>
          <w:p>
            <w:pPr>
              <w:spacing w:after="0" w:line="240" w:lineRule="auto"/>
            </w:pPr>
            <w:r>
              <w:rPr>
                <w:rFonts w:ascii="Calibri" w:hAnsi="Calibri"/>
                <w:b w:val="0"/>
                <w:i w:val="0"/>
                <w:color w:val="000000"/>
                <w:sz w:val="19"/>
              </w:rPr>
              <w:t>Owner</w:t>
            </w:r>
          </w:p>
        </w:tc>
        <w:tc>
          <w:tcPr>
            <w:tcW w:type="dxa" w:w="6660"/>
            <w:vAlign w:val="top"/>
            <w:tcMar>
              <w:top w:w="80" w:type="dxa"/>
              <w:start w:w="120" w:type="dxa"/>
              <w:bottom w:w="80" w:type="dxa"/>
              <w:end w:w="120" w:type="dxa"/>
            </w:tcMar>
          </w:tcPr>
          <w:p>
            <w:pPr>
              <w:spacing w:after="0" w:line="240" w:lineRule="auto"/>
            </w:pPr>
            <w:r>
              <w:rPr>
                <w:rFonts w:ascii="Calibri" w:hAnsi="Calibri"/>
                <w:b w:val="0"/>
                <w:i w:val="0"/>
                <w:color w:val="000000"/>
                <w:sz w:val="17"/>
              </w:rPr>
              <w:t>Jyphra Technology Pvt. Ltd.</w:t>
            </w:r>
          </w:p>
        </w:tc>
      </w:tr>
      <w:tr>
        <w:tc>
          <w:tcPr>
            <w:tcW w:type="dxa" w:w="2700"/>
            <w:vAlign w:val="top"/>
            <w:tcMar>
              <w:top w:w="80" w:type="dxa"/>
              <w:start w:w="120" w:type="dxa"/>
              <w:bottom w:w="80" w:type="dxa"/>
              <w:end w:w="120" w:type="dxa"/>
            </w:tcMar>
          </w:tcPr>
          <w:p>
            <w:pPr>
              <w:spacing w:after="0" w:line="240" w:lineRule="auto"/>
            </w:pPr>
            <w:r>
              <w:rPr>
                <w:rFonts w:ascii="Calibri" w:hAnsi="Calibri"/>
                <w:b w:val="0"/>
                <w:i w:val="0"/>
                <w:color w:val="000000"/>
                <w:sz w:val="19"/>
              </w:rPr>
              <w:t>Approval</w:t>
            </w:r>
          </w:p>
        </w:tc>
        <w:tc>
          <w:tcPr>
            <w:tcW w:type="dxa" w:w="6660"/>
            <w:vAlign w:val="top"/>
            <w:tcMar>
              <w:top w:w="80" w:type="dxa"/>
              <w:start w:w="120" w:type="dxa"/>
              <w:bottom w:w="80" w:type="dxa"/>
              <w:end w:w="120" w:type="dxa"/>
            </w:tcMar>
          </w:tcPr>
          <w:p>
            <w:pPr>
              <w:spacing w:after="0" w:line="240" w:lineRule="auto"/>
            </w:pPr>
            <w:r>
              <w:rPr>
                <w:rFonts w:ascii="Calibri" w:hAnsi="Calibri"/>
                <w:b w:val="0"/>
                <w:i w:val="0"/>
                <w:color w:val="000000"/>
                <w:sz w:val="17"/>
              </w:rPr>
              <w:t>Jyphra Technology Pvt. Ltd.</w:t>
            </w:r>
          </w:p>
        </w:tc>
      </w:tr>
      <w:tr>
        <w:tc>
          <w:tcPr>
            <w:tcW w:type="dxa" w:w="2700"/>
            <w:vAlign w:val="top"/>
            <w:tcMar>
              <w:top w:w="80" w:type="dxa"/>
              <w:start w:w="120" w:type="dxa"/>
              <w:bottom w:w="80" w:type="dxa"/>
              <w:end w:w="120" w:type="dxa"/>
            </w:tcMar>
          </w:tcPr>
          <w:p>
            <w:pPr>
              <w:spacing w:after="0" w:line="240" w:lineRule="auto"/>
            </w:pPr>
            <w:r>
              <w:rPr>
                <w:rFonts w:ascii="Calibri" w:hAnsi="Calibri"/>
                <w:b w:val="0"/>
                <w:i w:val="0"/>
                <w:color w:val="000000"/>
                <w:sz w:val="19"/>
              </w:rPr>
              <w:t>Status</w:t>
            </w:r>
          </w:p>
        </w:tc>
        <w:tc>
          <w:tcPr>
            <w:tcW w:type="dxa" w:w="6660"/>
            <w:vAlign w:val="top"/>
            <w:tcMar>
              <w:top w:w="80" w:type="dxa"/>
              <w:start w:w="120" w:type="dxa"/>
              <w:bottom w:w="80" w:type="dxa"/>
              <w:end w:w="120" w:type="dxa"/>
            </w:tcMar>
          </w:tcPr>
          <w:p>
            <w:pPr>
              <w:spacing w:after="0" w:line="240" w:lineRule="auto"/>
            </w:pPr>
            <w:r>
              <w:rPr>
                <w:rFonts w:ascii="Calibri" w:hAnsi="Calibri"/>
                <w:b/>
                <w:i w:val="0"/>
                <w:color w:val="166534"/>
                <w:sz w:val="17"/>
              </w:rPr>
              <w:t>APPROVED BY OWNER FOR SDLC USE</w:t>
            </w:r>
          </w:p>
        </w:tc>
      </w:tr>
      <w:tr>
        <w:tc>
          <w:tcPr>
            <w:tcW w:type="dxa" w:w="2700"/>
            <w:vAlign w:val="top"/>
            <w:tcMar>
              <w:top w:w="80" w:type="dxa"/>
              <w:start w:w="120" w:type="dxa"/>
              <w:bottom w:w="80" w:type="dxa"/>
              <w:end w:w="120" w:type="dxa"/>
            </w:tcMar>
          </w:tcPr>
          <w:p>
            <w:pPr>
              <w:spacing w:after="0" w:line="240" w:lineRule="auto"/>
            </w:pPr>
            <w:r>
              <w:rPr>
                <w:rFonts w:ascii="Calibri" w:hAnsi="Calibri"/>
                <w:b w:val="0"/>
                <w:i w:val="0"/>
                <w:color w:val="000000"/>
                <w:sz w:val="19"/>
              </w:rPr>
              <w:t>Review cycle</w:t>
            </w:r>
          </w:p>
        </w:tc>
        <w:tc>
          <w:tcPr>
            <w:tcW w:type="dxa" w:w="6660"/>
            <w:vAlign w:val="top"/>
            <w:tcMar>
              <w:top w:w="80" w:type="dxa"/>
              <w:start w:w="120" w:type="dxa"/>
              <w:bottom w:w="80" w:type="dxa"/>
              <w:end w:w="120" w:type="dxa"/>
            </w:tcMar>
          </w:tcPr>
          <w:p>
            <w:pPr>
              <w:spacing w:after="0" w:line="240" w:lineRule="auto"/>
            </w:pPr>
            <w:r>
              <w:rPr>
                <w:rFonts w:ascii="Calibri" w:hAnsi="Calibri"/>
                <w:b w:val="0"/>
                <w:i w:val="0"/>
                <w:color w:val="000000"/>
                <w:sz w:val="19"/>
              </w:rPr>
              <w:t>At least annually and upon any material legal, product, processor or data-flow change</w:t>
            </w:r>
          </w:p>
        </w:tc>
      </w:tr>
      <w:tr>
        <w:tc>
          <w:tcPr>
            <w:tcW w:type="dxa" w:w="2700"/>
          </w:tcPr>
          <w:p>
            <w:r>
              <w:rPr>
                <w:b/>
                <w:sz w:val="17"/>
              </w:rPr>
              <w:t>Legal validation</w:t>
            </w:r>
          </w:p>
        </w:tc>
        <w:tc>
          <w:tcPr>
            <w:tcW w:type="dxa" w:w="6660"/>
          </w:tcPr>
          <w:p>
            <w:r>
              <w:rPr>
                <w:b w:val="0"/>
                <w:sz w:val="17"/>
              </w:rPr>
              <w:t>Nepal-qualified legal review remains mandatory before production release</w:t>
            </w:r>
          </w:p>
        </w:tc>
      </w:tr>
    </w:tbl>
    <w:p>
      <w:pPr>
        <w:spacing w:after="0"/>
      </w:pP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vAlign w:val="top"/>
            <w:tcMar>
              <w:top w:w="80" w:type="dxa"/>
              <w:start w:w="120" w:type="dxa"/>
              <w:bottom w:w="80" w:type="dxa"/>
              <w:end w:w="120" w:type="dxa"/>
            </w:tcMar>
            <w:shd w:fill="FCE4D6"/>
          </w:tcPr>
          <w:p>
            <w:pPr>
              <w:spacing w:after="40"/>
            </w:pPr>
            <w:r>
              <w:rPr>
                <w:rFonts w:ascii="Calibri" w:hAnsi="Calibri"/>
                <w:b w:val="0"/>
                <w:i w:val="0"/>
                <w:color w:val="9B1C1C"/>
                <w:sz w:val="17"/>
              </w:rPr>
              <w:t>Approval scope: Jyphra Technology Pvt. Ltd. has approved this document as the internal SDLC privacy and data-retention baseline. This owner approval is not external legal advice. Nepal-qualified legal validation of statutory interpretation, notices, consent language, children's data rules, cross-border processing and retention periods remains a mandatory production-release condition.</w:t>
            </w:r>
            <w:r>
              <w:rPr>
                <w:rFonts w:ascii="Calibri" w:hAnsi="Calibri"/>
                <w:b w:val="0"/>
                <w:i w:val="0"/>
                <w:color w:val="000000"/>
                <w:sz w:val="17"/>
              </w:rPr>
            </w:r>
          </w:p>
        </w:tc>
      </w:tr>
    </w:tbl>
    <w:p>
      <w:pPr>
        <w:spacing w:after="0"/>
      </w:pPr>
    </w:p>
    <w:p>
      <w:pPr>
        <w:spacing w:after="100" w:line="264" w:lineRule="auto"/>
      </w:pPr>
      <w:r>
        <w:rPr>
          <w:rFonts w:ascii="Calibri" w:hAnsi="Calibri"/>
          <w:b/>
          <w:i w:val="0"/>
          <w:color w:val="17365D"/>
          <w:sz w:val="24"/>
        </w:rPr>
        <w:t>Document purpose</w:t>
      </w:r>
    </w:p>
    <w:p>
      <w:pPr>
        <w:spacing w:after="120" w:line="264" w:lineRule="auto"/>
      </w:pPr>
      <w:r>
        <w:rPr>
          <w:rFonts w:ascii="Calibri" w:hAnsi="Calibri"/>
          <w:b w:val="0"/>
          <w:i w:val="0"/>
          <w:color w:val="000000"/>
          <w:sz w:val="22"/>
        </w:rPr>
        <w:t>This package translates the project requirements into a privacy operating model, user-facing notice baseline, retention schedule, rights workflow, breach process and engineering acceptance criteria. It deliberately applies stricter controls where genealogy, family disputes, children, exact location, contact details or cultural relationships can create lasting harm.</w:t>
      </w:r>
    </w:p>
    <w:p>
      <w:r>
        <w:br w:type="page"/>
      </w:r>
    </w:p>
    <w:p>
      <w:pPr>
        <w:pStyle w:val="Heading1"/>
      </w:pPr>
      <w:r>
        <w:t>1. Executive policy decision</w:t>
      </w:r>
    </w:p>
    <w:p>
      <w:pPr>
        <w:spacing w:after="120" w:line="264" w:lineRule="auto"/>
      </w:pPr>
      <w:r>
        <w:rPr>
          <w:rFonts w:ascii="Calibri" w:hAnsi="Calibri"/>
          <w:b w:val="0"/>
          <w:i w:val="0"/>
          <w:color w:val="000000"/>
          <w:sz w:val="22"/>
        </w:rPr>
        <w:t>The platform shall operate as a privacy-by-design, evidence-based genealogy and community service. Personal data is collected only for defined purposes, access is scoped by role and branch, sensitive relationships are protected, and every privileged action is auditable. Public visibility is never the default for a living person.</w:t>
      </w: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vAlign w:val="top"/>
            <w:tcMar>
              <w:top w:w="80" w:type="dxa"/>
              <w:start w:w="120" w:type="dxa"/>
              <w:bottom w:w="80" w:type="dxa"/>
              <w:end w:w="120" w:type="dxa"/>
            </w:tcMar>
            <w:shd w:fill="E8EEF5"/>
          </w:tcPr>
          <w:p>
            <w:pPr>
              <w:spacing w:after="40"/>
            </w:pPr>
            <w:r>
              <w:rPr>
                <w:rFonts w:ascii="Calibri" w:hAnsi="Calibri"/>
                <w:b/>
                <w:i w:val="0"/>
                <w:color w:val="17365D"/>
                <w:sz w:val="21"/>
              </w:rPr>
              <w:t xml:space="preserve">Release decision: </w:t>
            </w:r>
            <w:r>
              <w:rPr>
                <w:rFonts w:ascii="Calibri" w:hAnsi="Calibri"/>
                <w:b w:val="0"/>
                <w:i w:val="0"/>
                <w:color w:val="000000"/>
                <w:sz w:val="21"/>
              </w:rPr>
              <w:t>Privacy, retention, account deletion, consent, children's protections, processor contracts, incident response and store disclosures are Release 1.0 launch requirements. They are not post-launch enhancements.</w:t>
            </w:r>
          </w:p>
        </w:tc>
      </w:tr>
    </w:tbl>
    <w:p>
      <w:pPr>
        <w:spacing w:after="0"/>
      </w:pPr>
    </w:p>
    <w:p>
      <w:pPr>
        <w:pStyle w:val="Heading2"/>
      </w:pPr>
      <w:r>
        <w:t>1.1 Non-negotiable rules</w:t>
      </w:r>
    </w:p>
    <w:p>
      <w:pPr>
        <w:pStyle w:val="ListBullet"/>
        <w:spacing w:after="80" w:line="280" w:lineRule="auto"/>
        <w:ind w:left="720" w:hanging="360"/>
      </w:pPr>
      <w:r>
        <w:rPr>
          <w:rFonts w:ascii="Calibri" w:hAnsi="Calibri"/>
          <w:b w:val="0"/>
          <w:i w:val="0"/>
          <w:color w:val="000000"/>
          <w:sz w:val="22"/>
        </w:rPr>
        <w:t>No genealogy fact is automatically public merely because it concerns family history.</w:t>
      </w:r>
    </w:p>
    <w:p>
      <w:pPr>
        <w:pStyle w:val="ListBullet"/>
        <w:spacing w:after="80" w:line="280" w:lineRule="auto"/>
        <w:ind w:left="720" w:hanging="360"/>
      </w:pPr>
      <w:r>
        <w:rPr>
          <w:rFonts w:ascii="Calibri" w:hAnsi="Calibri"/>
          <w:b w:val="0"/>
          <w:i w:val="0"/>
          <w:color w:val="000000"/>
          <w:sz w:val="22"/>
        </w:rPr>
        <w:t>No biological, adoptive, step, guardian, disputed or former-spouse relationship is inferred or collapsed into another category.</w:t>
      </w:r>
    </w:p>
    <w:p>
      <w:pPr>
        <w:pStyle w:val="ListBullet"/>
        <w:spacing w:after="80" w:line="280" w:lineRule="auto"/>
        <w:ind w:left="720" w:hanging="360"/>
      </w:pPr>
      <w:r>
        <w:rPr>
          <w:rFonts w:ascii="Calibri" w:hAnsi="Calibri"/>
          <w:b w:val="0"/>
          <w:i w:val="0"/>
          <w:color w:val="000000"/>
          <w:sz w:val="22"/>
        </w:rPr>
        <w:t>No precise location, private contact, identity document, private message or minor's profile is exposed through search, maps or exports by default.</w:t>
      </w:r>
    </w:p>
    <w:p>
      <w:pPr>
        <w:pStyle w:val="ListBullet"/>
        <w:spacing w:after="80" w:line="280" w:lineRule="auto"/>
        <w:ind w:left="720" w:hanging="360"/>
      </w:pPr>
      <w:r>
        <w:rPr>
          <w:rFonts w:ascii="Calibri" w:hAnsi="Calibri"/>
          <w:b w:val="0"/>
          <w:i w:val="0"/>
          <w:color w:val="000000"/>
          <w:sz w:val="22"/>
        </w:rPr>
        <w:t>No account deletion request is treated as permission to corrupt shared genealogy; the account and private data are deleted or anonymized while necessary shared historical claims are separated, minimized and retained only under an approved basis.</w:t>
      </w:r>
    </w:p>
    <w:p>
      <w:pPr>
        <w:pStyle w:val="ListBullet"/>
        <w:spacing w:after="80" w:line="280" w:lineRule="auto"/>
        <w:ind w:left="720" w:hanging="360"/>
      </w:pPr>
      <w:r>
        <w:rPr>
          <w:rFonts w:ascii="Calibri" w:hAnsi="Calibri"/>
          <w:b w:val="0"/>
          <w:i w:val="0"/>
          <w:color w:val="000000"/>
          <w:sz w:val="22"/>
        </w:rPr>
        <w:t>No production database, log, backup or analytics export may have an undefined owner or indefinite retention period.</w:t>
      </w:r>
    </w:p>
    <w:p>
      <w:pPr>
        <w:pStyle w:val="ListBullet"/>
        <w:spacing w:after="80" w:line="280" w:lineRule="auto"/>
        <w:ind w:left="720" w:hanging="360"/>
      </w:pPr>
      <w:r>
        <w:rPr>
          <w:rFonts w:ascii="Calibri" w:hAnsi="Calibri"/>
          <w:b w:val="0"/>
          <w:i w:val="0"/>
          <w:color w:val="000000"/>
          <w:sz w:val="22"/>
        </w:rPr>
        <w:t>No administrator may bypass consent, disclosure, retention or audit controls without a recorded, time-limited emergency authorization.</w:t>
      </w:r>
    </w:p>
    <w:p>
      <w:pPr>
        <w:pStyle w:val="Heading2"/>
      </w:pPr>
      <w:r>
        <w:t>1.2 Approval conditions</w:t>
      </w:r>
    </w:p>
    <w:p>
      <w:pPr>
        <w:spacing w:after="120" w:line="264" w:lineRule="auto"/>
      </w:pPr>
      <w:r>
        <w:rPr>
          <w:rFonts w:ascii="Calibri" w:hAnsi="Calibri"/>
          <w:b w:val="0"/>
          <w:i w:val="0"/>
          <w:color w:val="000000"/>
          <w:sz w:val="22"/>
        </w:rPr>
        <w:t>Jyphra Technology Pvt. Ltd. is the policy owner and approving organization, and this version is effective as the internal SDLC baseline from 8 September 2026. Before production release, the company must record its official address, privacy contact, complaint channel, authorized legal representative and data-hosting/processor locations. A Nepal-qualified lawyer must validate the final legal basis, statutory mappings and public-facing notices.</w:t>
      </w:r>
    </w:p>
    <w:p>
      <w:pPr>
        <w:pStyle w:val="Heading1"/>
      </w:pPr>
      <w:r>
        <w:t>2. Legal and platform baseline</w:t>
      </w:r>
    </w:p>
    <w:p>
      <w:pPr>
        <w:spacing w:after="120" w:line="264" w:lineRule="auto"/>
      </w:pPr>
      <w:r>
        <w:rPr>
          <w:rFonts w:ascii="Calibri" w:hAnsi="Calibri"/>
          <w:b w:val="0"/>
          <w:i w:val="0"/>
          <w:color w:val="000000"/>
          <w:sz w:val="22"/>
        </w:rPr>
        <w:t>The following sources form the current compliance baseline. The final legal register must be refreshed immediately before launch because laws, regulations and platform policies can change.</w:t>
      </w:r>
    </w:p>
    <w:tbl>
      <w:tblPr>
        <w:tblStyle w:val="TableGrid"/>
        <w:tblW w:type="dxa" w:w="9360"/>
        <w:tblLayout w:type="fixed"/>
        <w:tblLook w:firstColumn="1" w:firstRow="1" w:lastColumn="0" w:lastRow="0" w:noHBand="0" w:noVBand="1" w:val="04A0"/>
        <w:jc w:val="left"/>
        <w:tblInd w:w="120" w:type="dxa"/>
        <w:tblInd w:w="120" w:type="dxa"/>
      </w:tblPr>
      <w:tblGrid>
        <w:gridCol w:w="2500"/>
        <w:gridCol w:w="3500"/>
        <w:gridCol w:w="3360"/>
      </w:tblGrid>
      <w:tr>
        <w:trPr>
          <w:tblHeader w:val="true"/>
        </w:trPr>
        <w:tc>
          <w:tcPr>
            <w:tcW w:type="dxa" w:w="2500"/>
            <w:vAlign w:val="top"/>
            <w:tcMar>
              <w:top w:w="80" w:type="dxa"/>
              <w:start w:w="120" w:type="dxa"/>
              <w:bottom w:w="80" w:type="dxa"/>
              <w:end w:w="120" w:type="dxa"/>
            </w:tcMar>
            <w:shd w:fill="E8EEF5"/>
          </w:tcPr>
          <w:p>
            <w:pPr>
              <w:spacing w:after="0"/>
            </w:pPr>
            <w:r>
              <w:rPr>
                <w:rFonts w:ascii="Calibri" w:hAnsi="Calibri"/>
                <w:b/>
                <w:i w:val="0"/>
                <w:color w:val="17365D"/>
                <w:sz w:val="17"/>
              </w:rPr>
              <w:t>Source</w:t>
            </w:r>
          </w:p>
        </w:tc>
        <w:tc>
          <w:tcPr>
            <w:tcW w:type="dxa" w:w="3500"/>
            <w:vAlign w:val="top"/>
            <w:tcMar>
              <w:top w:w="80" w:type="dxa"/>
              <w:start w:w="120" w:type="dxa"/>
              <w:bottom w:w="80" w:type="dxa"/>
              <w:end w:w="120" w:type="dxa"/>
            </w:tcMar>
            <w:shd w:fill="E8EEF5"/>
          </w:tcPr>
          <w:p>
            <w:pPr>
              <w:spacing w:after="0"/>
            </w:pPr>
            <w:r>
              <w:rPr>
                <w:rFonts w:ascii="Calibri" w:hAnsi="Calibri"/>
                <w:b/>
                <w:i w:val="0"/>
                <w:color w:val="17365D"/>
                <w:sz w:val="17"/>
              </w:rPr>
              <w:t>Relevance</w:t>
            </w:r>
          </w:p>
        </w:tc>
        <w:tc>
          <w:tcPr>
            <w:tcW w:type="dxa" w:w="3360"/>
            <w:vAlign w:val="top"/>
            <w:tcMar>
              <w:top w:w="80" w:type="dxa"/>
              <w:start w:w="120" w:type="dxa"/>
              <w:bottom w:w="80" w:type="dxa"/>
              <w:end w:w="120" w:type="dxa"/>
            </w:tcMar>
            <w:shd w:fill="E8EEF5"/>
          </w:tcPr>
          <w:p>
            <w:pPr>
              <w:spacing w:after="0"/>
            </w:pPr>
            <w:r>
              <w:rPr>
                <w:rFonts w:ascii="Calibri" w:hAnsi="Calibri"/>
                <w:b/>
                <w:i w:val="0"/>
                <w:color w:val="17365D"/>
                <w:sz w:val="17"/>
              </w:rPr>
              <w:t>Required action</w:t>
            </w:r>
          </w:p>
        </w:tc>
      </w:tr>
      <w:tr>
        <w:tc>
          <w:tcPr>
            <w:tcW w:type="dxa" w:w="2500"/>
            <w:vAlign w:val="top"/>
            <w:tcMar>
              <w:top w:w="80" w:type="dxa"/>
              <w:start w:w="120" w:type="dxa"/>
              <w:bottom w:w="80" w:type="dxa"/>
              <w:end w:w="120" w:type="dxa"/>
            </w:tcMar>
          </w:tcPr>
          <w:p>
            <w:pPr>
              <w:spacing w:after="0" w:line="240" w:lineRule="auto"/>
            </w:pPr>
            <w:r>
              <w:rPr>
                <w:rFonts w:ascii="Calibri" w:hAnsi="Calibri"/>
                <w:b w:val="0"/>
                <w:i w:val="0"/>
                <w:color w:val="000000"/>
                <w:sz w:val="17"/>
              </w:rPr>
              <w:t>Constitution of Nepal</w:t>
            </w:r>
          </w:p>
        </w:tc>
        <w:tc>
          <w:tcPr>
            <w:tcW w:type="dxa" w:w="3500"/>
            <w:vAlign w:val="top"/>
            <w:tcMar>
              <w:top w:w="80" w:type="dxa"/>
              <w:start w:w="120" w:type="dxa"/>
              <w:bottom w:w="80" w:type="dxa"/>
              <w:end w:w="120" w:type="dxa"/>
            </w:tcMar>
          </w:tcPr>
          <w:p>
            <w:pPr>
              <w:spacing w:after="0" w:line="240" w:lineRule="auto"/>
            </w:pPr>
            <w:r>
              <w:rPr>
                <w:rFonts w:ascii="Calibri" w:hAnsi="Calibri"/>
                <w:b w:val="0"/>
                <w:i w:val="0"/>
                <w:color w:val="000000"/>
                <w:sz w:val="17"/>
              </w:rPr>
              <w:t>Constitutional privacy right, including privacy of person, residence, property, documents, data and correspondence.</w:t>
            </w:r>
          </w:p>
        </w:tc>
        <w:tc>
          <w:tcPr>
            <w:tcW w:type="dxa" w:w="3360"/>
            <w:vAlign w:val="top"/>
            <w:tcMar>
              <w:top w:w="80" w:type="dxa"/>
              <w:start w:w="120" w:type="dxa"/>
              <w:bottom w:w="80" w:type="dxa"/>
              <w:end w:w="120" w:type="dxa"/>
            </w:tcMar>
          </w:tcPr>
          <w:p>
            <w:pPr>
              <w:spacing w:after="0" w:line="240" w:lineRule="auto"/>
            </w:pPr>
            <w:r>
              <w:rPr>
                <w:rFonts w:ascii="Calibri" w:hAnsi="Calibri"/>
                <w:b w:val="0"/>
                <w:i w:val="0"/>
                <w:color w:val="000000"/>
                <w:sz w:val="17"/>
              </w:rPr>
              <w:t>Confirm exact scope and remedies with counsel.</w:t>
            </w:r>
          </w:p>
        </w:tc>
      </w:tr>
      <w:tr>
        <w:tc>
          <w:tcPr>
            <w:tcW w:type="dxa" w:w="2500"/>
            <w:vAlign w:val="top"/>
            <w:tcMar>
              <w:top w:w="80" w:type="dxa"/>
              <w:start w:w="120" w:type="dxa"/>
              <w:bottom w:w="80" w:type="dxa"/>
              <w:end w:w="120" w:type="dxa"/>
            </w:tcMar>
          </w:tcPr>
          <w:p>
            <w:pPr>
              <w:spacing w:after="0" w:line="240" w:lineRule="auto"/>
            </w:pPr>
            <w:r>
              <w:rPr>
                <w:rFonts w:ascii="Calibri" w:hAnsi="Calibri"/>
                <w:b w:val="0"/>
                <w:i w:val="0"/>
                <w:color w:val="000000"/>
                <w:sz w:val="17"/>
              </w:rPr>
              <w:t>Privacy Act, 2075 (2018)</w:t>
            </w:r>
          </w:p>
        </w:tc>
        <w:tc>
          <w:tcPr>
            <w:tcW w:type="dxa" w:w="3500"/>
            <w:vAlign w:val="top"/>
            <w:tcMar>
              <w:top w:w="80" w:type="dxa"/>
              <w:start w:w="120" w:type="dxa"/>
              <w:bottom w:w="80" w:type="dxa"/>
              <w:end w:w="120" w:type="dxa"/>
            </w:tcMar>
          </w:tcPr>
          <w:p>
            <w:pPr>
              <w:spacing w:after="0" w:line="240" w:lineRule="auto"/>
            </w:pPr>
            <w:r>
              <w:rPr>
                <w:rFonts w:ascii="Calibri" w:hAnsi="Calibri"/>
                <w:b w:val="0"/>
                <w:i w:val="0"/>
                <w:color w:val="000000"/>
                <w:sz w:val="17"/>
              </w:rPr>
              <w:t>Primary Nepal statute for individual privacy and handling of personal information.</w:t>
            </w:r>
          </w:p>
        </w:tc>
        <w:tc>
          <w:tcPr>
            <w:tcW w:type="dxa" w:w="3360"/>
            <w:vAlign w:val="top"/>
            <w:tcMar>
              <w:top w:w="80" w:type="dxa"/>
              <w:start w:w="120" w:type="dxa"/>
              <w:bottom w:w="80" w:type="dxa"/>
              <w:end w:w="120" w:type="dxa"/>
            </w:tcMar>
          </w:tcPr>
          <w:p>
            <w:pPr>
              <w:spacing w:after="0" w:line="240" w:lineRule="auto"/>
            </w:pPr>
            <w:r>
              <w:rPr>
                <w:rFonts w:ascii="Calibri" w:hAnsi="Calibri"/>
                <w:b w:val="0"/>
                <w:i w:val="0"/>
                <w:color w:val="000000"/>
                <w:sz w:val="17"/>
              </w:rPr>
              <w:t>Map every collection, consent, use, disclosure, correction and security obligation to the final product.</w:t>
            </w:r>
          </w:p>
        </w:tc>
      </w:tr>
      <w:tr>
        <w:tc>
          <w:tcPr>
            <w:tcW w:type="dxa" w:w="2500"/>
            <w:vAlign w:val="top"/>
            <w:tcMar>
              <w:top w:w="80" w:type="dxa"/>
              <w:start w:w="120" w:type="dxa"/>
              <w:bottom w:w="80" w:type="dxa"/>
              <w:end w:w="120" w:type="dxa"/>
            </w:tcMar>
          </w:tcPr>
          <w:p>
            <w:pPr>
              <w:spacing w:after="0" w:line="240" w:lineRule="auto"/>
            </w:pPr>
            <w:r>
              <w:rPr>
                <w:rFonts w:ascii="Calibri" w:hAnsi="Calibri"/>
                <w:b w:val="0"/>
                <w:i w:val="0"/>
                <w:color w:val="000000"/>
                <w:sz w:val="17"/>
              </w:rPr>
              <w:t>Electronic Transactions Act, 2063 (2008) and Rules, 2064</w:t>
            </w:r>
          </w:p>
        </w:tc>
        <w:tc>
          <w:tcPr>
            <w:tcW w:type="dxa" w:w="3500"/>
            <w:vAlign w:val="top"/>
            <w:tcMar>
              <w:top w:w="80" w:type="dxa"/>
              <w:start w:w="120" w:type="dxa"/>
              <w:bottom w:w="80" w:type="dxa"/>
              <w:end w:w="120" w:type="dxa"/>
            </w:tcMar>
          </w:tcPr>
          <w:p>
            <w:pPr>
              <w:spacing w:after="0" w:line="240" w:lineRule="auto"/>
            </w:pPr>
            <w:r>
              <w:rPr>
                <w:rFonts w:ascii="Calibri" w:hAnsi="Calibri"/>
                <w:b w:val="0"/>
                <w:i w:val="0"/>
                <w:color w:val="000000"/>
                <w:sz w:val="17"/>
              </w:rPr>
              <w:t>Electronic records, unlawful access and computer-related conduct.</w:t>
            </w:r>
          </w:p>
        </w:tc>
        <w:tc>
          <w:tcPr>
            <w:tcW w:type="dxa" w:w="3360"/>
            <w:vAlign w:val="top"/>
            <w:tcMar>
              <w:top w:w="80" w:type="dxa"/>
              <w:start w:w="120" w:type="dxa"/>
              <w:bottom w:w="80" w:type="dxa"/>
              <w:end w:w="120" w:type="dxa"/>
            </w:tcMar>
          </w:tcPr>
          <w:p>
            <w:pPr>
              <w:spacing w:after="0" w:line="240" w:lineRule="auto"/>
            </w:pPr>
            <w:r>
              <w:rPr>
                <w:rFonts w:ascii="Calibri" w:hAnsi="Calibri"/>
                <w:b w:val="0"/>
                <w:i w:val="0"/>
                <w:color w:val="000000"/>
                <w:sz w:val="17"/>
              </w:rPr>
              <w:t>Validate electronic consent, records, security and incident provisions.</w:t>
            </w:r>
          </w:p>
        </w:tc>
      </w:tr>
      <w:tr>
        <w:tc>
          <w:tcPr>
            <w:tcW w:type="dxa" w:w="2500"/>
            <w:vAlign w:val="top"/>
            <w:tcMar>
              <w:top w:w="80" w:type="dxa"/>
              <w:start w:w="120" w:type="dxa"/>
              <w:bottom w:w="80" w:type="dxa"/>
              <w:end w:w="120" w:type="dxa"/>
            </w:tcMar>
          </w:tcPr>
          <w:p>
            <w:pPr>
              <w:spacing w:after="0" w:line="240" w:lineRule="auto"/>
            </w:pPr>
            <w:r>
              <w:rPr>
                <w:rFonts w:ascii="Calibri" w:hAnsi="Calibri"/>
                <w:b w:val="0"/>
                <w:i w:val="0"/>
                <w:color w:val="000000"/>
                <w:sz w:val="17"/>
              </w:rPr>
              <w:t>Act Relating to Children, 2075 (2018)</w:t>
            </w:r>
          </w:p>
        </w:tc>
        <w:tc>
          <w:tcPr>
            <w:tcW w:type="dxa" w:w="3500"/>
            <w:vAlign w:val="top"/>
            <w:tcMar>
              <w:top w:w="80" w:type="dxa"/>
              <w:start w:w="120" w:type="dxa"/>
              <w:bottom w:w="80" w:type="dxa"/>
              <w:end w:w="120" w:type="dxa"/>
            </w:tcMar>
          </w:tcPr>
          <w:p>
            <w:pPr>
              <w:spacing w:after="0" w:line="240" w:lineRule="auto"/>
            </w:pPr>
            <w:r>
              <w:rPr>
                <w:rFonts w:ascii="Calibri" w:hAnsi="Calibri"/>
                <w:b w:val="0"/>
                <w:i w:val="0"/>
                <w:color w:val="000000"/>
                <w:sz w:val="17"/>
              </w:rPr>
              <w:t>Child rights, dignity, best interests and protections relevant to minors' profiles and content.</w:t>
            </w:r>
          </w:p>
        </w:tc>
        <w:tc>
          <w:tcPr>
            <w:tcW w:type="dxa" w:w="3360"/>
            <w:vAlign w:val="top"/>
            <w:tcMar>
              <w:top w:w="80" w:type="dxa"/>
              <w:start w:w="120" w:type="dxa"/>
              <w:bottom w:w="80" w:type="dxa"/>
              <w:end w:w="120" w:type="dxa"/>
            </w:tcMar>
          </w:tcPr>
          <w:p>
            <w:pPr>
              <w:spacing w:after="0" w:line="240" w:lineRule="auto"/>
            </w:pPr>
            <w:r>
              <w:rPr>
                <w:rFonts w:ascii="Calibri" w:hAnsi="Calibri"/>
                <w:b w:val="0"/>
                <w:i w:val="0"/>
                <w:color w:val="000000"/>
                <w:sz w:val="17"/>
              </w:rPr>
              <w:t>Adopt child-specific consent, visibility, reporting and deletion rules.</w:t>
            </w:r>
          </w:p>
        </w:tc>
      </w:tr>
      <w:tr>
        <w:tc>
          <w:tcPr>
            <w:tcW w:type="dxa" w:w="2500"/>
            <w:vAlign w:val="top"/>
            <w:tcMar>
              <w:top w:w="80" w:type="dxa"/>
              <w:start w:w="120" w:type="dxa"/>
              <w:bottom w:w="80" w:type="dxa"/>
              <w:end w:w="120" w:type="dxa"/>
            </w:tcMar>
          </w:tcPr>
          <w:p>
            <w:pPr>
              <w:spacing w:after="0" w:line="240" w:lineRule="auto"/>
            </w:pPr>
            <w:r>
              <w:rPr>
                <w:rFonts w:ascii="Calibri" w:hAnsi="Calibri"/>
                <w:b w:val="0"/>
                <w:i w:val="0"/>
                <w:color w:val="000000"/>
                <w:sz w:val="17"/>
              </w:rPr>
              <w:t>National Civil Code, 2074</w:t>
            </w:r>
          </w:p>
        </w:tc>
        <w:tc>
          <w:tcPr>
            <w:tcW w:type="dxa" w:w="3500"/>
            <w:vAlign w:val="top"/>
            <w:tcMar>
              <w:top w:w="80" w:type="dxa"/>
              <w:start w:w="120" w:type="dxa"/>
              <w:bottom w:w="80" w:type="dxa"/>
              <w:end w:w="120" w:type="dxa"/>
            </w:tcMar>
          </w:tcPr>
          <w:p>
            <w:pPr>
              <w:spacing w:after="0" w:line="240" w:lineRule="auto"/>
            </w:pPr>
            <w:r>
              <w:rPr>
                <w:rFonts w:ascii="Calibri" w:hAnsi="Calibri"/>
                <w:b w:val="0"/>
                <w:i w:val="0"/>
                <w:color w:val="000000"/>
                <w:sz w:val="17"/>
              </w:rPr>
              <w:t>Family status, adoption, guardianship, marriage and other civil relationships.</w:t>
            </w:r>
          </w:p>
        </w:tc>
        <w:tc>
          <w:tcPr>
            <w:tcW w:type="dxa" w:w="3360"/>
            <w:vAlign w:val="top"/>
            <w:tcMar>
              <w:top w:w="80" w:type="dxa"/>
              <w:start w:w="120" w:type="dxa"/>
              <w:bottom w:w="80" w:type="dxa"/>
              <w:end w:w="120" w:type="dxa"/>
            </w:tcMar>
          </w:tcPr>
          <w:p>
            <w:pPr>
              <w:spacing w:after="0" w:line="240" w:lineRule="auto"/>
            </w:pPr>
            <w:r>
              <w:rPr>
                <w:rFonts w:ascii="Calibri" w:hAnsi="Calibri"/>
                <w:b w:val="0"/>
                <w:i w:val="0"/>
                <w:color w:val="000000"/>
                <w:sz w:val="17"/>
              </w:rPr>
              <w:t>Verify terminology and evidence handling; never adjudicate legal status through the app.</w:t>
            </w:r>
          </w:p>
        </w:tc>
      </w:tr>
      <w:tr>
        <w:tc>
          <w:tcPr>
            <w:tcW w:type="dxa" w:w="2500"/>
            <w:vAlign w:val="top"/>
            <w:tcMar>
              <w:top w:w="80" w:type="dxa"/>
              <w:start w:w="120" w:type="dxa"/>
              <w:bottom w:w="80" w:type="dxa"/>
              <w:end w:w="120" w:type="dxa"/>
            </w:tcMar>
          </w:tcPr>
          <w:p>
            <w:pPr>
              <w:spacing w:after="0" w:line="240" w:lineRule="auto"/>
            </w:pPr>
            <w:r>
              <w:rPr>
                <w:rFonts w:ascii="Calibri" w:hAnsi="Calibri"/>
                <w:b w:val="0"/>
                <w:i w:val="0"/>
                <w:color w:val="000000"/>
                <w:sz w:val="17"/>
              </w:rPr>
              <w:t>Muluki Criminal Code, 2074</w:t>
            </w:r>
          </w:p>
        </w:tc>
        <w:tc>
          <w:tcPr>
            <w:tcW w:type="dxa" w:w="3500"/>
            <w:vAlign w:val="top"/>
            <w:tcMar>
              <w:top w:w="80" w:type="dxa"/>
              <w:start w:w="120" w:type="dxa"/>
              <w:bottom w:w="80" w:type="dxa"/>
              <w:end w:w="120" w:type="dxa"/>
            </w:tcMar>
          </w:tcPr>
          <w:p>
            <w:pPr>
              <w:spacing w:after="0" w:line="240" w:lineRule="auto"/>
            </w:pPr>
            <w:r>
              <w:rPr>
                <w:rFonts w:ascii="Calibri" w:hAnsi="Calibri"/>
                <w:b w:val="0"/>
                <w:i w:val="0"/>
                <w:color w:val="000000"/>
                <w:sz w:val="17"/>
              </w:rPr>
              <w:t>Potential offences affecting privacy, identity, harassment, threats, defamation and harmful publication.</w:t>
            </w:r>
          </w:p>
        </w:tc>
        <w:tc>
          <w:tcPr>
            <w:tcW w:type="dxa" w:w="3360"/>
            <w:vAlign w:val="top"/>
            <w:tcMar>
              <w:top w:w="80" w:type="dxa"/>
              <w:start w:w="120" w:type="dxa"/>
              <w:bottom w:w="80" w:type="dxa"/>
              <w:end w:w="120" w:type="dxa"/>
            </w:tcMar>
          </w:tcPr>
          <w:p>
            <w:pPr>
              <w:spacing w:after="0" w:line="240" w:lineRule="auto"/>
            </w:pPr>
            <w:r>
              <w:rPr>
                <w:rFonts w:ascii="Calibri" w:hAnsi="Calibri"/>
                <w:b w:val="0"/>
                <w:i w:val="0"/>
                <w:color w:val="000000"/>
                <w:sz w:val="17"/>
              </w:rPr>
              <w:t>Confirm moderation, evidence preservation and law-enforcement response.</w:t>
            </w:r>
          </w:p>
        </w:tc>
      </w:tr>
      <w:tr>
        <w:tc>
          <w:tcPr>
            <w:tcW w:type="dxa" w:w="2500"/>
            <w:vAlign w:val="top"/>
            <w:tcMar>
              <w:top w:w="80" w:type="dxa"/>
              <w:start w:w="120" w:type="dxa"/>
              <w:bottom w:w="80" w:type="dxa"/>
              <w:end w:w="120" w:type="dxa"/>
            </w:tcMar>
          </w:tcPr>
          <w:p>
            <w:pPr>
              <w:spacing w:after="0" w:line="240" w:lineRule="auto"/>
            </w:pPr>
            <w:r>
              <w:rPr>
                <w:rFonts w:ascii="Calibri" w:hAnsi="Calibri"/>
                <w:b w:val="0"/>
                <w:i w:val="0"/>
                <w:color w:val="000000"/>
                <w:sz w:val="17"/>
              </w:rPr>
              <w:t>Google Play User Data policy</w:t>
            </w:r>
          </w:p>
        </w:tc>
        <w:tc>
          <w:tcPr>
            <w:tcW w:type="dxa" w:w="3500"/>
            <w:vAlign w:val="top"/>
            <w:tcMar>
              <w:top w:w="80" w:type="dxa"/>
              <w:start w:w="120" w:type="dxa"/>
              <w:bottom w:w="80" w:type="dxa"/>
              <w:end w:w="120" w:type="dxa"/>
            </w:tcMar>
          </w:tcPr>
          <w:p>
            <w:pPr>
              <w:spacing w:after="0" w:line="240" w:lineRule="auto"/>
            </w:pPr>
            <w:r>
              <w:rPr>
                <w:rFonts w:ascii="Calibri" w:hAnsi="Calibri"/>
                <w:b w:val="0"/>
                <w:i w:val="0"/>
                <w:color w:val="000000"/>
                <w:sz w:val="17"/>
              </w:rPr>
              <w:t>Data safety disclosure, account/data deletion paths and handling of user data.</w:t>
            </w:r>
          </w:p>
        </w:tc>
        <w:tc>
          <w:tcPr>
            <w:tcW w:type="dxa" w:w="3360"/>
            <w:vAlign w:val="top"/>
            <w:tcMar>
              <w:top w:w="80" w:type="dxa"/>
              <w:start w:w="120" w:type="dxa"/>
              <w:bottom w:w="80" w:type="dxa"/>
              <w:end w:w="120" w:type="dxa"/>
            </w:tcMar>
          </w:tcPr>
          <w:p>
            <w:pPr>
              <w:spacing w:after="0" w:line="240" w:lineRule="auto"/>
            </w:pPr>
            <w:r>
              <w:rPr>
                <w:rFonts w:ascii="Calibri" w:hAnsi="Calibri"/>
                <w:b w:val="0"/>
                <w:i w:val="0"/>
                <w:color w:val="000000"/>
                <w:sz w:val="17"/>
              </w:rPr>
              <w:t>In-app and web deletion request paths; accurate Data Safety form.</w:t>
            </w:r>
          </w:p>
        </w:tc>
      </w:tr>
      <w:tr>
        <w:tc>
          <w:tcPr>
            <w:tcW w:type="dxa" w:w="2500"/>
            <w:vAlign w:val="top"/>
            <w:tcMar>
              <w:top w:w="80" w:type="dxa"/>
              <w:start w:w="120" w:type="dxa"/>
              <w:bottom w:w="80" w:type="dxa"/>
              <w:end w:w="120" w:type="dxa"/>
            </w:tcMar>
          </w:tcPr>
          <w:p>
            <w:pPr>
              <w:spacing w:after="0" w:line="240" w:lineRule="auto"/>
            </w:pPr>
            <w:r>
              <w:rPr>
                <w:rFonts w:ascii="Calibri" w:hAnsi="Calibri"/>
                <w:b w:val="0"/>
                <w:i w:val="0"/>
                <w:color w:val="000000"/>
                <w:sz w:val="17"/>
              </w:rPr>
              <w:t>Apple App Review Guideline 5.1 and privacy disclosures</w:t>
            </w:r>
          </w:p>
        </w:tc>
        <w:tc>
          <w:tcPr>
            <w:tcW w:type="dxa" w:w="3500"/>
            <w:vAlign w:val="top"/>
            <w:tcMar>
              <w:top w:w="80" w:type="dxa"/>
              <w:start w:w="120" w:type="dxa"/>
              <w:bottom w:w="80" w:type="dxa"/>
              <w:end w:w="120" w:type="dxa"/>
            </w:tcMar>
          </w:tcPr>
          <w:p>
            <w:pPr>
              <w:spacing w:after="0" w:line="240" w:lineRule="auto"/>
            </w:pPr>
            <w:r>
              <w:rPr>
                <w:rFonts w:ascii="Calibri" w:hAnsi="Calibri"/>
                <w:b w:val="0"/>
                <w:i w:val="0"/>
                <w:color w:val="000000"/>
                <w:sz w:val="17"/>
              </w:rPr>
              <w:t>Privacy policy, collection/use disclosure, consent controls and in-app account deletion.</w:t>
            </w:r>
          </w:p>
        </w:tc>
        <w:tc>
          <w:tcPr>
            <w:tcW w:type="dxa" w:w="3360"/>
            <w:vAlign w:val="top"/>
            <w:tcMar>
              <w:top w:w="80" w:type="dxa"/>
              <w:start w:w="120" w:type="dxa"/>
              <w:bottom w:w="80" w:type="dxa"/>
              <w:end w:w="120" w:type="dxa"/>
            </w:tcMar>
          </w:tcPr>
          <w:p>
            <w:pPr>
              <w:spacing w:after="0" w:line="240" w:lineRule="auto"/>
            </w:pPr>
            <w:r>
              <w:rPr>
                <w:rFonts w:ascii="Calibri" w:hAnsi="Calibri"/>
                <w:b w:val="0"/>
                <w:i w:val="0"/>
                <w:color w:val="000000"/>
                <w:sz w:val="17"/>
              </w:rPr>
              <w:t>Accurate App Privacy responses and deletion initiation within the app.</w:t>
            </w:r>
          </w:p>
        </w:tc>
      </w:tr>
    </w:tbl>
    <w:p>
      <w:pPr>
        <w:spacing w:after="0"/>
      </w:pPr>
    </w:p>
    <w:p>
      <w:pPr>
        <w:pStyle w:val="Heading1"/>
      </w:pPr>
      <w:r>
        <w:t>3. Roles and accountability</w:t>
      </w:r>
    </w:p>
    <w:tbl>
      <w:tblPr>
        <w:tblStyle w:val="TableGrid"/>
        <w:tblW w:type="dxa" w:w="9360"/>
        <w:tblLayout w:type="fixed"/>
        <w:tblLook w:firstColumn="1" w:firstRow="1" w:lastColumn="0" w:lastRow="0" w:noHBand="0" w:noVBand="1" w:val="04A0"/>
        <w:jc w:val="left"/>
        <w:tblInd w:w="120" w:type="dxa"/>
        <w:tblInd w:w="120" w:type="dxa"/>
      </w:tblPr>
      <w:tblGrid>
        <w:gridCol w:w="2600"/>
        <w:gridCol w:w="6760"/>
      </w:tblGrid>
      <w:tr>
        <w:trPr>
          <w:tblHeader w:val="true"/>
        </w:trPr>
        <w:tc>
          <w:tcPr>
            <w:tcW w:type="dxa" w:w="2600"/>
            <w:vAlign w:val="top"/>
            <w:tcMar>
              <w:top w:w="80" w:type="dxa"/>
              <w:start w:w="120" w:type="dxa"/>
              <w:bottom w:w="80" w:type="dxa"/>
              <w:end w:w="120" w:type="dxa"/>
            </w:tcMar>
            <w:shd w:fill="E8EEF5"/>
          </w:tcPr>
          <w:p>
            <w:pPr>
              <w:spacing w:after="0"/>
            </w:pPr>
            <w:r>
              <w:rPr>
                <w:rFonts w:ascii="Calibri" w:hAnsi="Calibri"/>
                <w:b/>
                <w:i w:val="0"/>
                <w:color w:val="17365D"/>
                <w:sz w:val="18"/>
              </w:rPr>
              <w:t>Role</w:t>
            </w:r>
          </w:p>
        </w:tc>
        <w:tc>
          <w:tcPr>
            <w:tcW w:type="dxa" w:w="6760"/>
            <w:vAlign w:val="top"/>
            <w:tcMar>
              <w:top w:w="80" w:type="dxa"/>
              <w:start w:w="120" w:type="dxa"/>
              <w:bottom w:w="80" w:type="dxa"/>
              <w:end w:w="120" w:type="dxa"/>
            </w:tcMar>
            <w:shd w:fill="E8EEF5"/>
          </w:tcPr>
          <w:p>
            <w:pPr>
              <w:spacing w:after="0"/>
            </w:pPr>
            <w:r>
              <w:rPr>
                <w:rFonts w:ascii="Calibri" w:hAnsi="Calibri"/>
                <w:b/>
                <w:i w:val="0"/>
                <w:color w:val="17365D"/>
                <w:sz w:val="18"/>
              </w:rPr>
              <w:t>Accountability</w:t>
            </w:r>
          </w:p>
        </w:tc>
      </w:tr>
      <w:tr>
        <w:tc>
          <w:tcPr>
            <w:tcW w:type="dxa" w:w="2600"/>
            <w:vAlign w:val="top"/>
            <w:tcMar>
              <w:top w:w="80" w:type="dxa"/>
              <w:start w:w="120" w:type="dxa"/>
              <w:bottom w:w="80" w:type="dxa"/>
              <w:end w:w="120" w:type="dxa"/>
            </w:tcMar>
          </w:tcPr>
          <w:p>
            <w:pPr>
              <w:spacing w:after="0" w:line="240" w:lineRule="auto"/>
            </w:pPr>
            <w:r>
              <w:rPr>
                <w:rFonts w:ascii="Calibri" w:hAnsi="Calibri"/>
                <w:b w:val="0"/>
                <w:i w:val="0"/>
                <w:color w:val="000000"/>
                <w:sz w:val="18"/>
              </w:rPr>
              <w:t>Governing Board</w:t>
            </w:r>
          </w:p>
        </w:tc>
        <w:tc>
          <w:tcPr>
            <w:tcW w:type="dxa" w:w="6760"/>
            <w:vAlign w:val="top"/>
            <w:tcMar>
              <w:top w:w="80" w:type="dxa"/>
              <w:start w:w="120" w:type="dxa"/>
              <w:bottom w:w="80" w:type="dxa"/>
              <w:end w:w="120" w:type="dxa"/>
            </w:tcMar>
          </w:tcPr>
          <w:p>
            <w:pPr>
              <w:spacing w:after="0" w:line="240" w:lineRule="auto"/>
            </w:pPr>
            <w:r>
              <w:rPr>
                <w:rFonts w:ascii="Calibri" w:hAnsi="Calibri"/>
                <w:b w:val="0"/>
                <w:i w:val="0"/>
                <w:color w:val="000000"/>
                <w:sz w:val="18"/>
              </w:rPr>
              <w:t>Approves policy, risk acceptance and senior appointments; receives material incident reports.</w:t>
            </w:r>
          </w:p>
        </w:tc>
      </w:tr>
      <w:tr>
        <w:tc>
          <w:tcPr>
            <w:tcW w:type="dxa" w:w="2600"/>
            <w:vAlign w:val="top"/>
            <w:tcMar>
              <w:top w:w="80" w:type="dxa"/>
              <w:start w:w="120" w:type="dxa"/>
              <w:bottom w:w="80" w:type="dxa"/>
              <w:end w:w="120" w:type="dxa"/>
            </w:tcMar>
          </w:tcPr>
          <w:p>
            <w:pPr>
              <w:spacing w:after="0" w:line="240" w:lineRule="auto"/>
            </w:pPr>
            <w:r>
              <w:rPr>
                <w:rFonts w:ascii="Calibri" w:hAnsi="Calibri"/>
                <w:b w:val="0"/>
                <w:i w:val="0"/>
                <w:color w:val="000000"/>
                <w:sz w:val="18"/>
              </w:rPr>
              <w:t>Privacy / Data Protection Officer</w:t>
            </w:r>
          </w:p>
        </w:tc>
        <w:tc>
          <w:tcPr>
            <w:tcW w:type="dxa" w:w="6760"/>
            <w:vAlign w:val="top"/>
            <w:tcMar>
              <w:top w:w="80" w:type="dxa"/>
              <w:start w:w="120" w:type="dxa"/>
              <w:bottom w:w="80" w:type="dxa"/>
              <w:end w:w="120" w:type="dxa"/>
            </w:tcMar>
          </w:tcPr>
          <w:p>
            <w:pPr>
              <w:spacing w:after="0" w:line="240" w:lineRule="auto"/>
            </w:pPr>
            <w:r>
              <w:rPr>
                <w:rFonts w:ascii="Calibri" w:hAnsi="Calibri"/>
                <w:b w:val="0"/>
                <w:i w:val="0"/>
                <w:color w:val="000000"/>
                <w:sz w:val="18"/>
              </w:rPr>
              <w:t>Maintains the data inventory, DPIA, rights requests, retention, complaints, processor review and privacy training.</w:t>
            </w:r>
          </w:p>
        </w:tc>
      </w:tr>
      <w:tr>
        <w:tc>
          <w:tcPr>
            <w:tcW w:type="dxa" w:w="2600"/>
            <w:vAlign w:val="top"/>
            <w:tcMar>
              <w:top w:w="80" w:type="dxa"/>
              <w:start w:w="120" w:type="dxa"/>
              <w:bottom w:w="80" w:type="dxa"/>
              <w:end w:w="120" w:type="dxa"/>
            </w:tcMar>
          </w:tcPr>
          <w:p>
            <w:pPr>
              <w:spacing w:after="0" w:line="240" w:lineRule="auto"/>
            </w:pPr>
            <w:r>
              <w:rPr>
                <w:rFonts w:ascii="Calibri" w:hAnsi="Calibri"/>
                <w:b w:val="0"/>
                <w:i w:val="0"/>
                <w:color w:val="000000"/>
                <w:sz w:val="18"/>
              </w:rPr>
              <w:t>Security Authority</w:t>
            </w:r>
          </w:p>
        </w:tc>
        <w:tc>
          <w:tcPr>
            <w:tcW w:type="dxa" w:w="6760"/>
            <w:vAlign w:val="top"/>
            <w:tcMar>
              <w:top w:w="80" w:type="dxa"/>
              <w:start w:w="120" w:type="dxa"/>
              <w:bottom w:w="80" w:type="dxa"/>
              <w:end w:w="120" w:type="dxa"/>
            </w:tcMar>
          </w:tcPr>
          <w:p>
            <w:pPr>
              <w:spacing w:after="0" w:line="240" w:lineRule="auto"/>
            </w:pPr>
            <w:r>
              <w:rPr>
                <w:rFonts w:ascii="Calibri" w:hAnsi="Calibri"/>
                <w:b w:val="0"/>
                <w:i w:val="0"/>
                <w:color w:val="000000"/>
                <w:sz w:val="18"/>
              </w:rPr>
              <w:t>Owns technical safeguards, access review, incident containment, security testing, key management and log integrity.</w:t>
            </w:r>
          </w:p>
        </w:tc>
      </w:tr>
      <w:tr>
        <w:tc>
          <w:tcPr>
            <w:tcW w:type="dxa" w:w="2600"/>
            <w:vAlign w:val="top"/>
            <w:tcMar>
              <w:top w:w="80" w:type="dxa"/>
              <w:start w:w="120" w:type="dxa"/>
              <w:bottom w:w="80" w:type="dxa"/>
              <w:end w:w="120" w:type="dxa"/>
            </w:tcMar>
          </w:tcPr>
          <w:p>
            <w:pPr>
              <w:spacing w:after="0" w:line="240" w:lineRule="auto"/>
            </w:pPr>
            <w:r>
              <w:rPr>
                <w:rFonts w:ascii="Calibri" w:hAnsi="Calibri"/>
                <w:b w:val="0"/>
                <w:i w:val="0"/>
                <w:color w:val="000000"/>
                <w:sz w:val="18"/>
              </w:rPr>
              <w:t>Product Owner</w:t>
            </w:r>
          </w:p>
        </w:tc>
        <w:tc>
          <w:tcPr>
            <w:tcW w:type="dxa" w:w="6760"/>
            <w:vAlign w:val="top"/>
            <w:tcMar>
              <w:top w:w="80" w:type="dxa"/>
              <w:start w:w="120" w:type="dxa"/>
              <w:bottom w:w="80" w:type="dxa"/>
              <w:end w:w="120" w:type="dxa"/>
            </w:tcMar>
          </w:tcPr>
          <w:p>
            <w:pPr>
              <w:spacing w:after="0" w:line="240" w:lineRule="auto"/>
            </w:pPr>
            <w:r>
              <w:rPr>
                <w:rFonts w:ascii="Calibri" w:hAnsi="Calibri"/>
                <w:b w:val="0"/>
                <w:i w:val="0"/>
                <w:color w:val="000000"/>
                <w:sz w:val="18"/>
              </w:rPr>
              <w:t>Ensures each feature has documented purpose, minimum data, notice, consent and acceptance criteria.</w:t>
            </w:r>
          </w:p>
        </w:tc>
      </w:tr>
      <w:tr>
        <w:tc>
          <w:tcPr>
            <w:tcW w:type="dxa" w:w="2600"/>
            <w:vAlign w:val="top"/>
            <w:tcMar>
              <w:top w:w="80" w:type="dxa"/>
              <w:start w:w="120" w:type="dxa"/>
              <w:bottom w:w="80" w:type="dxa"/>
              <w:end w:w="120" w:type="dxa"/>
            </w:tcMar>
          </w:tcPr>
          <w:p>
            <w:pPr>
              <w:spacing w:after="0" w:line="240" w:lineRule="auto"/>
            </w:pPr>
            <w:r>
              <w:rPr>
                <w:rFonts w:ascii="Calibri" w:hAnsi="Calibri"/>
                <w:b w:val="0"/>
                <w:i w:val="0"/>
                <w:color w:val="000000"/>
                <w:sz w:val="18"/>
              </w:rPr>
              <w:t>Branch Authority</w:t>
            </w:r>
          </w:p>
        </w:tc>
        <w:tc>
          <w:tcPr>
            <w:tcW w:type="dxa" w:w="6760"/>
            <w:vAlign w:val="top"/>
            <w:tcMar>
              <w:top w:w="80" w:type="dxa"/>
              <w:start w:w="120" w:type="dxa"/>
              <w:bottom w:w="80" w:type="dxa"/>
              <w:end w:w="120" w:type="dxa"/>
            </w:tcMar>
          </w:tcPr>
          <w:p>
            <w:pPr>
              <w:spacing w:after="0" w:line="240" w:lineRule="auto"/>
            </w:pPr>
            <w:r>
              <w:rPr>
                <w:rFonts w:ascii="Calibri" w:hAnsi="Calibri"/>
                <w:b w:val="0"/>
                <w:i w:val="0"/>
                <w:color w:val="000000"/>
                <w:sz w:val="18"/>
              </w:rPr>
              <w:t>Reviews branch-scoped genealogy while respecting recusals, evidence, visibility and dispute controls.</w:t>
            </w:r>
          </w:p>
        </w:tc>
      </w:tr>
      <w:tr>
        <w:tc>
          <w:tcPr>
            <w:tcW w:type="dxa" w:w="2600"/>
            <w:vAlign w:val="top"/>
            <w:tcMar>
              <w:top w:w="80" w:type="dxa"/>
              <w:start w:w="120" w:type="dxa"/>
              <w:bottom w:w="80" w:type="dxa"/>
              <w:end w:w="120" w:type="dxa"/>
            </w:tcMar>
          </w:tcPr>
          <w:p>
            <w:pPr>
              <w:spacing w:after="0" w:line="240" w:lineRule="auto"/>
            </w:pPr>
            <w:r>
              <w:rPr>
                <w:rFonts w:ascii="Calibri" w:hAnsi="Calibri"/>
                <w:b w:val="0"/>
                <w:i w:val="0"/>
                <w:color w:val="000000"/>
                <w:sz w:val="18"/>
              </w:rPr>
              <w:t>System/Support Staff</w:t>
            </w:r>
          </w:p>
        </w:tc>
        <w:tc>
          <w:tcPr>
            <w:tcW w:type="dxa" w:w="6760"/>
            <w:vAlign w:val="top"/>
            <w:tcMar>
              <w:top w:w="80" w:type="dxa"/>
              <w:start w:w="120" w:type="dxa"/>
              <w:bottom w:w="80" w:type="dxa"/>
              <w:end w:w="120" w:type="dxa"/>
            </w:tcMar>
          </w:tcPr>
          <w:p>
            <w:pPr>
              <w:spacing w:after="0" w:line="240" w:lineRule="auto"/>
            </w:pPr>
            <w:r>
              <w:rPr>
                <w:rFonts w:ascii="Calibri" w:hAnsi="Calibri"/>
                <w:b w:val="0"/>
                <w:i w:val="0"/>
                <w:color w:val="000000"/>
                <w:sz w:val="18"/>
              </w:rPr>
              <w:t>Act only within case-based access; cannot bulk export or independently approve sensitive changes.</w:t>
            </w:r>
          </w:p>
        </w:tc>
      </w:tr>
      <w:tr>
        <w:tc>
          <w:tcPr>
            <w:tcW w:type="dxa" w:w="2600"/>
            <w:vAlign w:val="top"/>
            <w:tcMar>
              <w:top w:w="80" w:type="dxa"/>
              <w:start w:w="120" w:type="dxa"/>
              <w:bottom w:w="80" w:type="dxa"/>
              <w:end w:w="120" w:type="dxa"/>
            </w:tcMar>
          </w:tcPr>
          <w:p>
            <w:pPr>
              <w:spacing w:after="0" w:line="240" w:lineRule="auto"/>
            </w:pPr>
            <w:r>
              <w:rPr>
                <w:rFonts w:ascii="Calibri" w:hAnsi="Calibri"/>
                <w:b w:val="0"/>
                <w:i w:val="0"/>
                <w:color w:val="000000"/>
                <w:sz w:val="18"/>
              </w:rPr>
              <w:t>Processors</w:t>
            </w:r>
          </w:p>
        </w:tc>
        <w:tc>
          <w:tcPr>
            <w:tcW w:type="dxa" w:w="6760"/>
            <w:vAlign w:val="top"/>
            <w:tcMar>
              <w:top w:w="80" w:type="dxa"/>
              <w:start w:w="120" w:type="dxa"/>
              <w:bottom w:w="80" w:type="dxa"/>
              <w:end w:w="120" w:type="dxa"/>
            </w:tcMar>
          </w:tcPr>
          <w:p>
            <w:pPr>
              <w:spacing w:after="0" w:line="240" w:lineRule="auto"/>
            </w:pPr>
            <w:r>
              <w:rPr>
                <w:rFonts w:ascii="Calibri" w:hAnsi="Calibri"/>
                <w:b w:val="0"/>
                <w:i w:val="0"/>
                <w:color w:val="000000"/>
                <w:sz w:val="18"/>
              </w:rPr>
              <w:t>Act only on contract instructions, protect data, report incidents and delete/return data at termination.</w:t>
            </w:r>
          </w:p>
        </w:tc>
      </w:tr>
      <w:tr>
        <w:tc>
          <w:tcPr>
            <w:tcW w:type="dxa" w:w="2600"/>
            <w:vAlign w:val="top"/>
            <w:tcMar>
              <w:top w:w="80" w:type="dxa"/>
              <w:start w:w="120" w:type="dxa"/>
              <w:bottom w:w="80" w:type="dxa"/>
              <w:end w:w="120" w:type="dxa"/>
            </w:tcMar>
          </w:tcPr>
          <w:p>
            <w:pPr>
              <w:spacing w:after="0" w:line="240" w:lineRule="auto"/>
            </w:pPr>
            <w:r>
              <w:rPr>
                <w:rFonts w:ascii="Calibri" w:hAnsi="Calibri"/>
                <w:b w:val="0"/>
                <w:i w:val="0"/>
                <w:color w:val="000000"/>
                <w:sz w:val="18"/>
              </w:rPr>
              <w:t>Members and Contributors</w:t>
            </w:r>
          </w:p>
        </w:tc>
        <w:tc>
          <w:tcPr>
            <w:tcW w:type="dxa" w:w="6760"/>
            <w:vAlign w:val="top"/>
            <w:tcMar>
              <w:top w:w="80" w:type="dxa"/>
              <w:start w:w="120" w:type="dxa"/>
              <w:bottom w:w="80" w:type="dxa"/>
              <w:end w:w="120" w:type="dxa"/>
            </w:tcMar>
          </w:tcPr>
          <w:p>
            <w:pPr>
              <w:spacing w:after="0" w:line="240" w:lineRule="auto"/>
            </w:pPr>
            <w:r>
              <w:rPr>
                <w:rFonts w:ascii="Calibri" w:hAnsi="Calibri"/>
                <w:b w:val="0"/>
                <w:i w:val="0"/>
                <w:color w:val="000000"/>
                <w:sz w:val="18"/>
              </w:rPr>
              <w:t>Provide accurate information, respect others' privacy and use reporting/correction channels.</w:t>
            </w:r>
          </w:p>
        </w:tc>
      </w:tr>
    </w:tbl>
    <w:p>
      <w:pPr>
        <w:spacing w:after="0"/>
      </w:pPr>
    </w:p>
    <w:p>
      <w:pPr>
        <w:pStyle w:val="Heading1"/>
      </w:pPr>
      <w:r>
        <w:t>4. Data inventory and classification</w:t>
      </w:r>
    </w:p>
    <w:tbl>
      <w:tblPr>
        <w:tblStyle w:val="TableGrid"/>
        <w:tblW w:type="dxa" w:w="9360"/>
        <w:tblLayout w:type="fixed"/>
        <w:tblLook w:firstColumn="1" w:firstRow="1" w:lastColumn="0" w:lastRow="0" w:noHBand="0" w:noVBand="1" w:val="04A0"/>
        <w:jc w:val="left"/>
        <w:tblInd w:w="120" w:type="dxa"/>
        <w:tblInd w:w="120" w:type="dxa"/>
      </w:tblPr>
      <w:tblGrid>
        <w:gridCol w:w="1600"/>
        <w:gridCol w:w="3300"/>
        <w:gridCol w:w="2100"/>
        <w:gridCol w:w="2360"/>
      </w:tblGrid>
      <w:tr>
        <w:trPr>
          <w:tblHeader w:val="true"/>
        </w:trPr>
        <w:tc>
          <w:tcPr>
            <w:tcW w:type="dxa" w:w="1600"/>
            <w:vAlign w:val="top"/>
            <w:tcMar>
              <w:top w:w="80" w:type="dxa"/>
              <w:start w:w="120" w:type="dxa"/>
              <w:bottom w:w="80" w:type="dxa"/>
              <w:end w:w="120" w:type="dxa"/>
            </w:tcMar>
            <w:shd w:fill="E8EEF5"/>
          </w:tcPr>
          <w:p>
            <w:pPr>
              <w:spacing w:after="0"/>
            </w:pPr>
            <w:r>
              <w:rPr>
                <w:rFonts w:ascii="Calibri" w:hAnsi="Calibri"/>
                <w:b/>
                <w:i w:val="0"/>
                <w:color w:val="17365D"/>
                <w:sz w:val="16"/>
              </w:rPr>
              <w:t>Class</w:t>
            </w:r>
          </w:p>
        </w:tc>
        <w:tc>
          <w:tcPr>
            <w:tcW w:type="dxa" w:w="3300"/>
            <w:vAlign w:val="top"/>
            <w:tcMar>
              <w:top w:w="80" w:type="dxa"/>
              <w:start w:w="120" w:type="dxa"/>
              <w:bottom w:w="80" w:type="dxa"/>
              <w:end w:w="120" w:type="dxa"/>
            </w:tcMar>
            <w:shd w:fill="E8EEF5"/>
          </w:tcPr>
          <w:p>
            <w:pPr>
              <w:spacing w:after="0"/>
            </w:pPr>
            <w:r>
              <w:rPr>
                <w:rFonts w:ascii="Calibri" w:hAnsi="Calibri"/>
                <w:b/>
                <w:i w:val="0"/>
                <w:color w:val="17365D"/>
                <w:sz w:val="16"/>
              </w:rPr>
              <w:t>Examples</w:t>
            </w:r>
          </w:p>
        </w:tc>
        <w:tc>
          <w:tcPr>
            <w:tcW w:type="dxa" w:w="2100"/>
            <w:vAlign w:val="top"/>
            <w:tcMar>
              <w:top w:w="80" w:type="dxa"/>
              <w:start w:w="120" w:type="dxa"/>
              <w:bottom w:w="80" w:type="dxa"/>
              <w:end w:w="120" w:type="dxa"/>
            </w:tcMar>
            <w:shd w:fill="E8EEF5"/>
          </w:tcPr>
          <w:p>
            <w:pPr>
              <w:spacing w:after="0"/>
            </w:pPr>
            <w:r>
              <w:rPr>
                <w:rFonts w:ascii="Calibri" w:hAnsi="Calibri"/>
                <w:b/>
                <w:i w:val="0"/>
                <w:color w:val="17365D"/>
                <w:sz w:val="16"/>
              </w:rPr>
              <w:t>Default access</w:t>
            </w:r>
          </w:p>
        </w:tc>
        <w:tc>
          <w:tcPr>
            <w:tcW w:type="dxa" w:w="2360"/>
            <w:vAlign w:val="top"/>
            <w:tcMar>
              <w:top w:w="80" w:type="dxa"/>
              <w:start w:w="120" w:type="dxa"/>
              <w:bottom w:w="80" w:type="dxa"/>
              <w:end w:w="120" w:type="dxa"/>
            </w:tcMar>
            <w:shd w:fill="E8EEF5"/>
          </w:tcPr>
          <w:p>
            <w:pPr>
              <w:spacing w:after="0"/>
            </w:pPr>
            <w:r>
              <w:rPr>
                <w:rFonts w:ascii="Calibri" w:hAnsi="Calibri"/>
                <w:b/>
                <w:i w:val="0"/>
                <w:color w:val="17365D"/>
                <w:sz w:val="16"/>
              </w:rPr>
              <w:t>Mandatory controls</w:t>
            </w:r>
          </w:p>
        </w:tc>
      </w:tr>
      <w:tr>
        <w:tc>
          <w:tcPr>
            <w:tcW w:type="dxa" w:w="1600"/>
            <w:vAlign w:val="top"/>
            <w:tcMar>
              <w:top w:w="80" w:type="dxa"/>
              <w:start w:w="120" w:type="dxa"/>
              <w:bottom w:w="80" w:type="dxa"/>
              <w:end w:w="120" w:type="dxa"/>
            </w:tcMar>
          </w:tcPr>
          <w:p>
            <w:pPr>
              <w:spacing w:after="0" w:line="240" w:lineRule="auto"/>
            </w:pPr>
            <w:r>
              <w:rPr>
                <w:rFonts w:ascii="Calibri" w:hAnsi="Calibri"/>
                <w:b w:val="0"/>
                <w:i w:val="0"/>
                <w:color w:val="000000"/>
                <w:sz w:val="16"/>
              </w:rPr>
              <w:t>Public</w:t>
            </w:r>
          </w:p>
        </w:tc>
        <w:tc>
          <w:tcPr>
            <w:tcW w:type="dxa" w:w="3300"/>
            <w:vAlign w:val="top"/>
            <w:tcMar>
              <w:top w:w="80" w:type="dxa"/>
              <w:start w:w="120" w:type="dxa"/>
              <w:bottom w:w="80" w:type="dxa"/>
              <w:end w:w="120" w:type="dxa"/>
            </w:tcMar>
          </w:tcPr>
          <w:p>
            <w:pPr>
              <w:spacing w:after="0" w:line="240" w:lineRule="auto"/>
            </w:pPr>
            <w:r>
              <w:rPr>
                <w:rFonts w:ascii="Calibri" w:hAnsi="Calibri"/>
                <w:b w:val="0"/>
                <w:i w:val="0"/>
                <w:color w:val="000000"/>
                <w:sz w:val="16"/>
              </w:rPr>
              <w:t>Approved cultural/history content; intentionally public deceased-person facts where permitted</w:t>
            </w:r>
          </w:p>
        </w:tc>
        <w:tc>
          <w:tcPr>
            <w:tcW w:type="dxa" w:w="2100"/>
            <w:vAlign w:val="top"/>
            <w:tcMar>
              <w:top w:w="80" w:type="dxa"/>
              <w:start w:w="120" w:type="dxa"/>
              <w:bottom w:w="80" w:type="dxa"/>
              <w:end w:w="120" w:type="dxa"/>
            </w:tcMar>
          </w:tcPr>
          <w:p>
            <w:pPr>
              <w:spacing w:after="0" w:line="240" w:lineRule="auto"/>
            </w:pPr>
            <w:r>
              <w:rPr>
                <w:rFonts w:ascii="Calibri" w:hAnsi="Calibri"/>
                <w:b w:val="0"/>
                <w:i w:val="0"/>
                <w:color w:val="000000"/>
                <w:sz w:val="16"/>
              </w:rPr>
              <w:t>Public web/app</w:t>
            </w:r>
          </w:p>
        </w:tc>
        <w:tc>
          <w:tcPr>
            <w:tcW w:type="dxa" w:w="2360"/>
            <w:vAlign w:val="top"/>
            <w:tcMar>
              <w:top w:w="80" w:type="dxa"/>
              <w:start w:w="120" w:type="dxa"/>
              <w:bottom w:w="80" w:type="dxa"/>
              <w:end w:w="120" w:type="dxa"/>
            </w:tcMar>
          </w:tcPr>
          <w:p>
            <w:pPr>
              <w:spacing w:after="0" w:line="240" w:lineRule="auto"/>
            </w:pPr>
            <w:r>
              <w:rPr>
                <w:rFonts w:ascii="Calibri" w:hAnsi="Calibri"/>
                <w:b w:val="0"/>
                <w:i w:val="0"/>
                <w:color w:val="000000"/>
                <w:sz w:val="16"/>
              </w:rPr>
              <w:t>Integrity, moderation and copyright controls</w:t>
            </w:r>
          </w:p>
        </w:tc>
      </w:tr>
      <w:tr>
        <w:tc>
          <w:tcPr>
            <w:tcW w:type="dxa" w:w="1600"/>
            <w:vAlign w:val="top"/>
            <w:tcMar>
              <w:top w:w="80" w:type="dxa"/>
              <w:start w:w="120" w:type="dxa"/>
              <w:bottom w:w="80" w:type="dxa"/>
              <w:end w:w="120" w:type="dxa"/>
            </w:tcMar>
          </w:tcPr>
          <w:p>
            <w:pPr>
              <w:spacing w:after="0" w:line="240" w:lineRule="auto"/>
            </w:pPr>
            <w:r>
              <w:rPr>
                <w:rFonts w:ascii="Calibri" w:hAnsi="Calibri"/>
                <w:b w:val="0"/>
                <w:i w:val="0"/>
                <w:color w:val="000000"/>
                <w:sz w:val="16"/>
              </w:rPr>
              <w:t>Member-restricted</w:t>
            </w:r>
          </w:p>
        </w:tc>
        <w:tc>
          <w:tcPr>
            <w:tcW w:type="dxa" w:w="3300"/>
            <w:vAlign w:val="top"/>
            <w:tcMar>
              <w:top w:w="80" w:type="dxa"/>
              <w:start w:w="120" w:type="dxa"/>
              <w:bottom w:w="80" w:type="dxa"/>
              <w:end w:w="120" w:type="dxa"/>
            </w:tcMar>
          </w:tcPr>
          <w:p>
            <w:pPr>
              <w:spacing w:after="0" w:line="240" w:lineRule="auto"/>
            </w:pPr>
            <w:r>
              <w:rPr>
                <w:rFonts w:ascii="Calibri" w:hAnsi="Calibri"/>
                <w:b w:val="0"/>
                <w:i w:val="0"/>
                <w:color w:val="000000"/>
                <w:sz w:val="16"/>
              </w:rPr>
              <w:t>Member profile basics, branch affiliation, approved family-tree views, events</w:t>
            </w:r>
          </w:p>
        </w:tc>
        <w:tc>
          <w:tcPr>
            <w:tcW w:type="dxa" w:w="2100"/>
            <w:vAlign w:val="top"/>
            <w:tcMar>
              <w:top w:w="80" w:type="dxa"/>
              <w:start w:w="120" w:type="dxa"/>
              <w:bottom w:w="80" w:type="dxa"/>
              <w:end w:w="120" w:type="dxa"/>
            </w:tcMar>
          </w:tcPr>
          <w:p>
            <w:pPr>
              <w:spacing w:after="0" w:line="240" w:lineRule="auto"/>
            </w:pPr>
            <w:r>
              <w:rPr>
                <w:rFonts w:ascii="Calibri" w:hAnsi="Calibri"/>
                <w:b w:val="0"/>
                <w:i w:val="0"/>
                <w:color w:val="000000"/>
                <w:sz w:val="16"/>
              </w:rPr>
              <w:t>Verified members / approved relatives</w:t>
            </w:r>
          </w:p>
        </w:tc>
        <w:tc>
          <w:tcPr>
            <w:tcW w:type="dxa" w:w="2360"/>
            <w:vAlign w:val="top"/>
            <w:tcMar>
              <w:top w:w="80" w:type="dxa"/>
              <w:start w:w="120" w:type="dxa"/>
              <w:bottom w:w="80" w:type="dxa"/>
              <w:end w:w="120" w:type="dxa"/>
            </w:tcMar>
          </w:tcPr>
          <w:p>
            <w:pPr>
              <w:spacing w:after="0" w:line="240" w:lineRule="auto"/>
            </w:pPr>
            <w:r>
              <w:rPr>
                <w:rFonts w:ascii="Calibri" w:hAnsi="Calibri"/>
                <w:b w:val="0"/>
                <w:i w:val="0"/>
                <w:color w:val="000000"/>
                <w:sz w:val="16"/>
              </w:rPr>
              <w:t>Authentication, scoped queries, anti-scraping</w:t>
            </w:r>
          </w:p>
        </w:tc>
      </w:tr>
      <w:tr>
        <w:tc>
          <w:tcPr>
            <w:tcW w:type="dxa" w:w="1600"/>
            <w:vAlign w:val="top"/>
            <w:tcMar>
              <w:top w:w="80" w:type="dxa"/>
              <w:start w:w="120" w:type="dxa"/>
              <w:bottom w:w="80" w:type="dxa"/>
              <w:end w:w="120" w:type="dxa"/>
            </w:tcMar>
          </w:tcPr>
          <w:p>
            <w:pPr>
              <w:spacing w:after="0" w:line="240" w:lineRule="auto"/>
            </w:pPr>
            <w:r>
              <w:rPr>
                <w:rFonts w:ascii="Calibri" w:hAnsi="Calibri"/>
                <w:b w:val="0"/>
                <w:i w:val="0"/>
                <w:color w:val="000000"/>
                <w:sz w:val="16"/>
              </w:rPr>
              <w:t>Confidential</w:t>
            </w:r>
          </w:p>
        </w:tc>
        <w:tc>
          <w:tcPr>
            <w:tcW w:type="dxa" w:w="3300"/>
            <w:vAlign w:val="top"/>
            <w:tcMar>
              <w:top w:w="80" w:type="dxa"/>
              <w:start w:w="120" w:type="dxa"/>
              <w:bottom w:w="80" w:type="dxa"/>
              <w:end w:w="120" w:type="dxa"/>
            </w:tcMar>
          </w:tcPr>
          <w:p>
            <w:pPr>
              <w:spacing w:after="0" w:line="240" w:lineRule="auto"/>
            </w:pPr>
            <w:r>
              <w:rPr>
                <w:rFonts w:ascii="Calibri" w:hAnsi="Calibri"/>
                <w:b w:val="0"/>
                <w:i w:val="0"/>
                <w:color w:val="000000"/>
                <w:sz w:val="16"/>
              </w:rPr>
              <w:t>Full birth date, contact details, exact address, relationship evidence, private photos</w:t>
            </w:r>
          </w:p>
        </w:tc>
        <w:tc>
          <w:tcPr>
            <w:tcW w:type="dxa" w:w="2100"/>
            <w:vAlign w:val="top"/>
            <w:tcMar>
              <w:top w:w="80" w:type="dxa"/>
              <w:start w:w="120" w:type="dxa"/>
              <w:bottom w:w="80" w:type="dxa"/>
              <w:end w:w="120" w:type="dxa"/>
            </w:tcMar>
          </w:tcPr>
          <w:p>
            <w:pPr>
              <w:spacing w:after="0" w:line="240" w:lineRule="auto"/>
            </w:pPr>
            <w:r>
              <w:rPr>
                <w:rFonts w:ascii="Calibri" w:hAnsi="Calibri"/>
                <w:b w:val="0"/>
                <w:i w:val="0"/>
                <w:color w:val="000000"/>
                <w:sz w:val="16"/>
              </w:rPr>
              <w:t>Self, authorized verifier, DPO/support as needed</w:t>
            </w:r>
          </w:p>
        </w:tc>
        <w:tc>
          <w:tcPr>
            <w:tcW w:type="dxa" w:w="2360"/>
            <w:vAlign w:val="top"/>
            <w:tcMar>
              <w:top w:w="80" w:type="dxa"/>
              <w:start w:w="120" w:type="dxa"/>
              <w:bottom w:w="80" w:type="dxa"/>
              <w:end w:w="120" w:type="dxa"/>
            </w:tcMar>
          </w:tcPr>
          <w:p>
            <w:pPr>
              <w:spacing w:after="0" w:line="240" w:lineRule="auto"/>
            </w:pPr>
            <w:r>
              <w:rPr>
                <w:rFonts w:ascii="Calibri" w:hAnsi="Calibri"/>
                <w:b w:val="0"/>
                <w:i w:val="0"/>
                <w:color w:val="000000"/>
                <w:sz w:val="16"/>
              </w:rPr>
              <w:t>Encryption, field-level authorization, access logs</w:t>
            </w:r>
          </w:p>
        </w:tc>
      </w:tr>
      <w:tr>
        <w:tc>
          <w:tcPr>
            <w:tcW w:type="dxa" w:w="1600"/>
            <w:vAlign w:val="top"/>
            <w:tcMar>
              <w:top w:w="80" w:type="dxa"/>
              <w:start w:w="120" w:type="dxa"/>
              <w:bottom w:w="80" w:type="dxa"/>
              <w:end w:w="120" w:type="dxa"/>
            </w:tcMar>
          </w:tcPr>
          <w:p>
            <w:pPr>
              <w:spacing w:after="0" w:line="240" w:lineRule="auto"/>
            </w:pPr>
            <w:r>
              <w:rPr>
                <w:rFonts w:ascii="Calibri" w:hAnsi="Calibri"/>
                <w:b w:val="0"/>
                <w:i w:val="0"/>
                <w:color w:val="000000"/>
                <w:sz w:val="16"/>
              </w:rPr>
              <w:t>Highly sensitive</w:t>
            </w:r>
          </w:p>
        </w:tc>
        <w:tc>
          <w:tcPr>
            <w:tcW w:type="dxa" w:w="3300"/>
            <w:vAlign w:val="top"/>
            <w:tcMar>
              <w:top w:w="80" w:type="dxa"/>
              <w:start w:w="120" w:type="dxa"/>
              <w:bottom w:w="80" w:type="dxa"/>
              <w:end w:w="120" w:type="dxa"/>
            </w:tcMar>
          </w:tcPr>
          <w:p>
            <w:pPr>
              <w:spacing w:after="0" w:line="240" w:lineRule="auto"/>
            </w:pPr>
            <w:r>
              <w:rPr>
                <w:rFonts w:ascii="Calibri" w:hAnsi="Calibri"/>
                <w:b w:val="0"/>
                <w:i w:val="0"/>
                <w:color w:val="000000"/>
                <w:sz w:val="16"/>
              </w:rPr>
              <w:t>Adoption/guardianship, disputed parentage, minors, consent records, private messages, moderation evidence, location coordinates</w:t>
            </w:r>
          </w:p>
        </w:tc>
        <w:tc>
          <w:tcPr>
            <w:tcW w:type="dxa" w:w="2100"/>
            <w:vAlign w:val="top"/>
            <w:tcMar>
              <w:top w:w="80" w:type="dxa"/>
              <w:start w:w="120" w:type="dxa"/>
              <w:bottom w:w="80" w:type="dxa"/>
              <w:end w:w="120" w:type="dxa"/>
            </w:tcMar>
          </w:tcPr>
          <w:p>
            <w:pPr>
              <w:spacing w:after="0" w:line="240" w:lineRule="auto"/>
            </w:pPr>
            <w:r>
              <w:rPr>
                <w:rFonts w:ascii="Calibri" w:hAnsi="Calibri"/>
                <w:b w:val="0"/>
                <w:i w:val="0"/>
                <w:color w:val="000000"/>
                <w:sz w:val="16"/>
              </w:rPr>
              <w:t>Named case roles only</w:t>
            </w:r>
          </w:p>
        </w:tc>
        <w:tc>
          <w:tcPr>
            <w:tcW w:type="dxa" w:w="2360"/>
            <w:vAlign w:val="top"/>
            <w:tcMar>
              <w:top w:w="80" w:type="dxa"/>
              <w:start w:w="120" w:type="dxa"/>
              <w:bottom w:w="80" w:type="dxa"/>
              <w:end w:w="120" w:type="dxa"/>
            </w:tcMar>
          </w:tcPr>
          <w:p>
            <w:pPr>
              <w:spacing w:after="0" w:line="240" w:lineRule="auto"/>
            </w:pPr>
            <w:r>
              <w:rPr>
                <w:rFonts w:ascii="Calibri" w:hAnsi="Calibri"/>
                <w:b w:val="0"/>
                <w:i w:val="0"/>
                <w:color w:val="000000"/>
                <w:sz w:val="16"/>
              </w:rPr>
              <w:t>Strong encryption, reason-based access, no bulk export, heightened monitoring</w:t>
            </w:r>
          </w:p>
        </w:tc>
      </w:tr>
      <w:tr>
        <w:tc>
          <w:tcPr>
            <w:tcW w:type="dxa" w:w="1600"/>
            <w:vAlign w:val="top"/>
            <w:tcMar>
              <w:top w:w="80" w:type="dxa"/>
              <w:start w:w="120" w:type="dxa"/>
              <w:bottom w:w="80" w:type="dxa"/>
              <w:end w:w="120" w:type="dxa"/>
            </w:tcMar>
          </w:tcPr>
          <w:p>
            <w:pPr>
              <w:spacing w:after="0" w:line="240" w:lineRule="auto"/>
            </w:pPr>
            <w:r>
              <w:rPr>
                <w:rFonts w:ascii="Calibri" w:hAnsi="Calibri"/>
                <w:b w:val="0"/>
                <w:i w:val="0"/>
                <w:color w:val="000000"/>
                <w:sz w:val="16"/>
              </w:rPr>
              <w:t>Security secret</w:t>
            </w:r>
          </w:p>
        </w:tc>
        <w:tc>
          <w:tcPr>
            <w:tcW w:type="dxa" w:w="3300"/>
            <w:vAlign w:val="top"/>
            <w:tcMar>
              <w:top w:w="80" w:type="dxa"/>
              <w:start w:w="120" w:type="dxa"/>
              <w:bottom w:w="80" w:type="dxa"/>
              <w:end w:w="120" w:type="dxa"/>
            </w:tcMar>
          </w:tcPr>
          <w:p>
            <w:pPr>
              <w:spacing w:after="0" w:line="240" w:lineRule="auto"/>
            </w:pPr>
            <w:r>
              <w:rPr>
                <w:rFonts w:ascii="Calibri" w:hAnsi="Calibri"/>
                <w:b w:val="0"/>
                <w:i w:val="0"/>
                <w:color w:val="000000"/>
                <w:sz w:val="16"/>
              </w:rPr>
              <w:t>Passwords/hashes, OTP material, tokens, encryption keys, recovery secrets</w:t>
            </w:r>
          </w:p>
        </w:tc>
        <w:tc>
          <w:tcPr>
            <w:tcW w:type="dxa" w:w="2100"/>
            <w:vAlign w:val="top"/>
            <w:tcMar>
              <w:top w:w="80" w:type="dxa"/>
              <w:start w:w="120" w:type="dxa"/>
              <w:bottom w:w="80" w:type="dxa"/>
              <w:end w:w="120" w:type="dxa"/>
            </w:tcMar>
          </w:tcPr>
          <w:p>
            <w:pPr>
              <w:spacing w:after="0" w:line="240" w:lineRule="auto"/>
            </w:pPr>
            <w:r>
              <w:rPr>
                <w:rFonts w:ascii="Calibri" w:hAnsi="Calibri"/>
                <w:b w:val="0"/>
                <w:i w:val="0"/>
                <w:color w:val="000000"/>
                <w:sz w:val="16"/>
              </w:rPr>
              <w:t>Dedicated security systems/personnel</w:t>
            </w:r>
          </w:p>
        </w:tc>
        <w:tc>
          <w:tcPr>
            <w:tcW w:type="dxa" w:w="2360"/>
            <w:vAlign w:val="top"/>
            <w:tcMar>
              <w:top w:w="80" w:type="dxa"/>
              <w:start w:w="120" w:type="dxa"/>
              <w:bottom w:w="80" w:type="dxa"/>
              <w:end w:w="120" w:type="dxa"/>
            </w:tcMar>
          </w:tcPr>
          <w:p>
            <w:pPr>
              <w:spacing w:after="0" w:line="240" w:lineRule="auto"/>
            </w:pPr>
            <w:r>
              <w:rPr>
                <w:rFonts w:ascii="Calibri" w:hAnsi="Calibri"/>
                <w:b w:val="0"/>
                <w:i w:val="0"/>
                <w:color w:val="000000"/>
                <w:sz w:val="16"/>
              </w:rPr>
              <w:t>Never log plaintext; rotation, hardware-backed custody, strict expiry</w:t>
            </w:r>
          </w:p>
        </w:tc>
      </w:tr>
    </w:tbl>
    <w:p>
      <w:pPr>
        <w:spacing w:after="0"/>
      </w:pPr>
    </w:p>
    <w:p>
      <w:pPr>
        <w:pStyle w:val="Heading2"/>
      </w:pPr>
      <w:r>
        <w:t>4.1 Prohibited collection</w:t>
      </w:r>
    </w:p>
    <w:p>
      <w:pPr>
        <w:spacing w:after="120" w:line="264" w:lineRule="auto"/>
      </w:pPr>
      <w:r>
        <w:rPr>
          <w:rFonts w:ascii="Calibri" w:hAnsi="Calibri"/>
          <w:b w:val="0"/>
          <w:i w:val="0"/>
          <w:color w:val="000000"/>
          <w:sz w:val="22"/>
        </w:rPr>
        <w:t>The platform shall not collect citizenship/passport scans, financial credentials, payment-card data, medical information, biometrics, political affiliation, unrelated device contacts, continuous background location or advertising identifiers unless a separately approved Release 1.0 function demonstrates necessity, legal authority and a completed DPIA. Passwords are never stored in readable form.</w:t>
      </w:r>
    </w:p>
    <w:p>
      <w:pPr>
        <w:pStyle w:val="Heading1"/>
      </w:pPr>
      <w:r>
        <w:t>5. Purpose and minimum data rules</w:t>
      </w:r>
    </w:p>
    <w:tbl>
      <w:tblPr>
        <w:tblStyle w:val="TableGrid"/>
        <w:tblW w:type="dxa" w:w="9360"/>
        <w:tblLayout w:type="fixed"/>
        <w:tblLook w:firstColumn="1" w:firstRow="1" w:lastColumn="0" w:lastRow="0" w:noHBand="0" w:noVBand="1" w:val="04A0"/>
        <w:jc w:val="left"/>
        <w:tblInd w:w="120" w:type="dxa"/>
        <w:tblInd w:w="120" w:type="dxa"/>
      </w:tblPr>
      <w:tblGrid>
        <w:gridCol w:w="1500"/>
        <w:gridCol w:w="2300"/>
        <w:gridCol w:w="2100"/>
        <w:gridCol w:w="1660"/>
        <w:gridCol w:w="1800"/>
      </w:tblGrid>
      <w:tr>
        <w:trPr>
          <w:tblHeader w:val="true"/>
        </w:trPr>
        <w:tc>
          <w:tcPr>
            <w:tcW w:type="dxa" w:w="1500"/>
            <w:vAlign w:val="top"/>
            <w:tcMar>
              <w:top w:w="80" w:type="dxa"/>
              <w:start w:w="120" w:type="dxa"/>
              <w:bottom w:w="80" w:type="dxa"/>
              <w:end w:w="120" w:type="dxa"/>
            </w:tcMar>
            <w:shd w:fill="E8EEF5"/>
          </w:tcPr>
          <w:p>
            <w:pPr>
              <w:spacing w:after="0"/>
            </w:pPr>
            <w:r>
              <w:rPr>
                <w:rFonts w:ascii="Calibri" w:hAnsi="Calibri"/>
                <w:b/>
                <w:i w:val="0"/>
                <w:color w:val="17365D"/>
                <w:sz w:val="15"/>
              </w:rPr>
              <w:t>Purpose</w:t>
            </w:r>
          </w:p>
        </w:tc>
        <w:tc>
          <w:tcPr>
            <w:tcW w:type="dxa" w:w="2300"/>
            <w:vAlign w:val="top"/>
            <w:tcMar>
              <w:top w:w="80" w:type="dxa"/>
              <w:start w:w="120" w:type="dxa"/>
              <w:bottom w:w="80" w:type="dxa"/>
              <w:end w:w="120" w:type="dxa"/>
            </w:tcMar>
            <w:shd w:fill="E8EEF5"/>
          </w:tcPr>
          <w:p>
            <w:pPr>
              <w:spacing w:after="0"/>
            </w:pPr>
            <w:r>
              <w:rPr>
                <w:rFonts w:ascii="Calibri" w:hAnsi="Calibri"/>
                <w:b/>
                <w:i w:val="0"/>
                <w:color w:val="17365D"/>
                <w:sz w:val="15"/>
              </w:rPr>
              <w:t>Minimum data</w:t>
            </w:r>
          </w:p>
        </w:tc>
        <w:tc>
          <w:tcPr>
            <w:tcW w:type="dxa" w:w="2100"/>
            <w:vAlign w:val="top"/>
            <w:tcMar>
              <w:top w:w="80" w:type="dxa"/>
              <w:start w:w="120" w:type="dxa"/>
              <w:bottom w:w="80" w:type="dxa"/>
              <w:end w:w="120" w:type="dxa"/>
            </w:tcMar>
            <w:shd w:fill="E8EEF5"/>
          </w:tcPr>
          <w:p>
            <w:pPr>
              <w:spacing w:after="0"/>
            </w:pPr>
            <w:r>
              <w:rPr>
                <w:rFonts w:ascii="Calibri" w:hAnsi="Calibri"/>
                <w:b/>
                <w:i w:val="0"/>
                <w:color w:val="17365D"/>
                <w:sz w:val="15"/>
              </w:rPr>
              <w:t>Use</w:t>
            </w:r>
          </w:p>
        </w:tc>
        <w:tc>
          <w:tcPr>
            <w:tcW w:type="dxa" w:w="1660"/>
            <w:vAlign w:val="top"/>
            <w:tcMar>
              <w:top w:w="80" w:type="dxa"/>
              <w:start w:w="120" w:type="dxa"/>
              <w:bottom w:w="80" w:type="dxa"/>
              <w:end w:w="120" w:type="dxa"/>
            </w:tcMar>
            <w:shd w:fill="E8EEF5"/>
          </w:tcPr>
          <w:p>
            <w:pPr>
              <w:spacing w:after="0"/>
            </w:pPr>
            <w:r>
              <w:rPr>
                <w:rFonts w:ascii="Calibri" w:hAnsi="Calibri"/>
                <w:b/>
                <w:i w:val="0"/>
                <w:color w:val="17365D"/>
                <w:sz w:val="15"/>
              </w:rPr>
              <w:t>Provisional basis</w:t>
            </w:r>
          </w:p>
        </w:tc>
        <w:tc>
          <w:tcPr>
            <w:tcW w:type="dxa" w:w="1800"/>
            <w:vAlign w:val="top"/>
            <w:tcMar>
              <w:top w:w="80" w:type="dxa"/>
              <w:start w:w="120" w:type="dxa"/>
              <w:bottom w:w="80" w:type="dxa"/>
              <w:end w:w="120" w:type="dxa"/>
            </w:tcMar>
            <w:shd w:fill="E8EEF5"/>
          </w:tcPr>
          <w:p>
            <w:pPr>
              <w:spacing w:after="0"/>
            </w:pPr>
            <w:r>
              <w:rPr>
                <w:rFonts w:ascii="Calibri" w:hAnsi="Calibri"/>
                <w:b/>
                <w:i w:val="0"/>
                <w:color w:val="17365D"/>
                <w:sz w:val="15"/>
              </w:rPr>
              <w:t>Constraint</w:t>
            </w:r>
          </w:p>
        </w:tc>
      </w:tr>
      <w:tr>
        <w:tc>
          <w:tcPr>
            <w:tcW w:type="dxa" w:w="1500"/>
            <w:vAlign w:val="top"/>
            <w:tcMar>
              <w:top w:w="80" w:type="dxa"/>
              <w:start w:w="120" w:type="dxa"/>
              <w:bottom w:w="80" w:type="dxa"/>
              <w:end w:w="120" w:type="dxa"/>
            </w:tcMar>
          </w:tcPr>
          <w:p>
            <w:pPr>
              <w:spacing w:after="0" w:line="240" w:lineRule="auto"/>
            </w:pPr>
            <w:r>
              <w:rPr>
                <w:rFonts w:ascii="Calibri" w:hAnsi="Calibri"/>
                <w:b w:val="0"/>
                <w:i w:val="0"/>
                <w:color w:val="000000"/>
                <w:sz w:val="15"/>
              </w:rPr>
              <w:t>Account and authentication</w:t>
            </w:r>
          </w:p>
        </w:tc>
        <w:tc>
          <w:tcPr>
            <w:tcW w:type="dxa" w:w="2300"/>
            <w:vAlign w:val="top"/>
            <w:tcMar>
              <w:top w:w="80" w:type="dxa"/>
              <w:start w:w="120" w:type="dxa"/>
              <w:bottom w:w="80" w:type="dxa"/>
              <w:end w:w="120" w:type="dxa"/>
            </w:tcMar>
          </w:tcPr>
          <w:p>
            <w:pPr>
              <w:spacing w:after="0" w:line="240" w:lineRule="auto"/>
            </w:pPr>
            <w:r>
              <w:rPr>
                <w:rFonts w:ascii="Calibri" w:hAnsi="Calibri"/>
                <w:b w:val="0"/>
                <w:i w:val="0"/>
                <w:color w:val="000000"/>
                <w:sz w:val="15"/>
              </w:rPr>
              <w:t>Phone/email, account ID, authentication events</w:t>
            </w:r>
          </w:p>
        </w:tc>
        <w:tc>
          <w:tcPr>
            <w:tcW w:type="dxa" w:w="2100"/>
            <w:vAlign w:val="top"/>
            <w:tcMar>
              <w:top w:w="80" w:type="dxa"/>
              <w:start w:w="120" w:type="dxa"/>
              <w:bottom w:w="80" w:type="dxa"/>
              <w:end w:w="120" w:type="dxa"/>
            </w:tcMar>
          </w:tcPr>
          <w:p>
            <w:pPr>
              <w:spacing w:after="0" w:line="240" w:lineRule="auto"/>
            </w:pPr>
            <w:r>
              <w:rPr>
                <w:rFonts w:ascii="Calibri" w:hAnsi="Calibri"/>
                <w:b w:val="0"/>
                <w:i w:val="0"/>
                <w:color w:val="000000"/>
                <w:sz w:val="15"/>
              </w:rPr>
              <w:t>Create, secure and recover an account</w:t>
            </w:r>
          </w:p>
        </w:tc>
        <w:tc>
          <w:tcPr>
            <w:tcW w:type="dxa" w:w="1660"/>
            <w:vAlign w:val="top"/>
            <w:tcMar>
              <w:top w:w="80" w:type="dxa"/>
              <w:start w:w="120" w:type="dxa"/>
              <w:bottom w:w="80" w:type="dxa"/>
              <w:end w:w="120" w:type="dxa"/>
            </w:tcMar>
          </w:tcPr>
          <w:p>
            <w:pPr>
              <w:spacing w:after="0" w:line="240" w:lineRule="auto"/>
            </w:pPr>
            <w:r>
              <w:rPr>
                <w:rFonts w:ascii="Calibri" w:hAnsi="Calibri"/>
                <w:b w:val="0"/>
                <w:i w:val="0"/>
                <w:color w:val="000000"/>
                <w:sz w:val="15"/>
              </w:rPr>
              <w:t>Account performance; consent where optional</w:t>
            </w:r>
          </w:p>
        </w:tc>
        <w:tc>
          <w:tcPr>
            <w:tcW w:type="dxa" w:w="1800"/>
            <w:vAlign w:val="top"/>
            <w:tcMar>
              <w:top w:w="80" w:type="dxa"/>
              <w:start w:w="120" w:type="dxa"/>
              <w:bottom w:w="80" w:type="dxa"/>
              <w:end w:w="120" w:type="dxa"/>
            </w:tcMar>
          </w:tcPr>
          <w:p>
            <w:pPr>
              <w:spacing w:after="0" w:line="240" w:lineRule="auto"/>
            </w:pPr>
            <w:r>
              <w:rPr>
                <w:rFonts w:ascii="Calibri" w:hAnsi="Calibri"/>
                <w:b w:val="0"/>
                <w:i w:val="0"/>
                <w:color w:val="000000"/>
                <w:sz w:val="15"/>
              </w:rPr>
              <w:t>No unrelated contact import</w:t>
            </w:r>
          </w:p>
        </w:tc>
      </w:tr>
      <w:tr>
        <w:tc>
          <w:tcPr>
            <w:tcW w:type="dxa" w:w="1500"/>
            <w:vAlign w:val="top"/>
            <w:tcMar>
              <w:top w:w="80" w:type="dxa"/>
              <w:start w:w="120" w:type="dxa"/>
              <w:bottom w:w="80" w:type="dxa"/>
              <w:end w:w="120" w:type="dxa"/>
            </w:tcMar>
          </w:tcPr>
          <w:p>
            <w:pPr>
              <w:spacing w:after="0" w:line="240" w:lineRule="auto"/>
            </w:pPr>
            <w:r>
              <w:rPr>
                <w:rFonts w:ascii="Calibri" w:hAnsi="Calibri"/>
                <w:b w:val="0"/>
                <w:i w:val="0"/>
                <w:color w:val="000000"/>
                <w:sz w:val="15"/>
              </w:rPr>
              <w:t>Membership verification</w:t>
            </w:r>
          </w:p>
        </w:tc>
        <w:tc>
          <w:tcPr>
            <w:tcW w:type="dxa" w:w="2300"/>
            <w:vAlign w:val="top"/>
            <w:tcMar>
              <w:top w:w="80" w:type="dxa"/>
              <w:start w:w="120" w:type="dxa"/>
              <w:bottom w:w="80" w:type="dxa"/>
              <w:end w:w="120" w:type="dxa"/>
            </w:tcMar>
          </w:tcPr>
          <w:p>
            <w:pPr>
              <w:spacing w:after="0" w:line="240" w:lineRule="auto"/>
            </w:pPr>
            <w:r>
              <w:rPr>
                <w:rFonts w:ascii="Calibri" w:hAnsi="Calibri"/>
                <w:b w:val="0"/>
                <w:i w:val="0"/>
                <w:color w:val="000000"/>
                <w:sz w:val="15"/>
              </w:rPr>
              <w:t>Name, branch claim, limited evidence, verifier decision</w:t>
            </w:r>
          </w:p>
        </w:tc>
        <w:tc>
          <w:tcPr>
            <w:tcW w:type="dxa" w:w="2100"/>
            <w:vAlign w:val="top"/>
            <w:tcMar>
              <w:top w:w="80" w:type="dxa"/>
              <w:start w:w="120" w:type="dxa"/>
              <w:bottom w:w="80" w:type="dxa"/>
              <w:end w:w="120" w:type="dxa"/>
            </w:tcMar>
          </w:tcPr>
          <w:p>
            <w:pPr>
              <w:spacing w:after="0" w:line="240" w:lineRule="auto"/>
            </w:pPr>
            <w:r>
              <w:rPr>
                <w:rFonts w:ascii="Calibri" w:hAnsi="Calibri"/>
                <w:b w:val="0"/>
                <w:i w:val="0"/>
                <w:color w:val="000000"/>
                <w:sz w:val="15"/>
              </w:rPr>
              <w:t>Restrict community features to eligible users</w:t>
            </w:r>
          </w:p>
        </w:tc>
        <w:tc>
          <w:tcPr>
            <w:tcW w:type="dxa" w:w="1660"/>
            <w:vAlign w:val="top"/>
            <w:tcMar>
              <w:top w:w="80" w:type="dxa"/>
              <w:start w:w="120" w:type="dxa"/>
              <w:bottom w:w="80" w:type="dxa"/>
              <w:end w:w="120" w:type="dxa"/>
            </w:tcMar>
          </w:tcPr>
          <w:p>
            <w:pPr>
              <w:spacing w:after="0" w:line="240" w:lineRule="auto"/>
            </w:pPr>
            <w:r>
              <w:rPr>
                <w:rFonts w:ascii="Calibri" w:hAnsi="Calibri"/>
                <w:b w:val="0"/>
                <w:i w:val="0"/>
                <w:color w:val="000000"/>
                <w:sz w:val="15"/>
              </w:rPr>
              <w:t>Legitimate organizational function + explicit notice</w:t>
            </w:r>
          </w:p>
        </w:tc>
        <w:tc>
          <w:tcPr>
            <w:tcW w:type="dxa" w:w="1800"/>
            <w:vAlign w:val="top"/>
            <w:tcMar>
              <w:top w:w="80" w:type="dxa"/>
              <w:start w:w="120" w:type="dxa"/>
              <w:bottom w:w="80" w:type="dxa"/>
              <w:end w:w="120" w:type="dxa"/>
            </w:tcMar>
          </w:tcPr>
          <w:p>
            <w:pPr>
              <w:spacing w:after="0" w:line="240" w:lineRule="auto"/>
            </w:pPr>
            <w:r>
              <w:rPr>
                <w:rFonts w:ascii="Calibri" w:hAnsi="Calibri"/>
                <w:b w:val="0"/>
                <w:i w:val="0"/>
                <w:color w:val="000000"/>
                <w:sz w:val="15"/>
              </w:rPr>
              <w:t>Evidence access limited to verifier</w:t>
            </w:r>
          </w:p>
        </w:tc>
      </w:tr>
      <w:tr>
        <w:tc>
          <w:tcPr>
            <w:tcW w:type="dxa" w:w="1500"/>
            <w:vAlign w:val="top"/>
            <w:tcMar>
              <w:top w:w="80" w:type="dxa"/>
              <w:start w:w="120" w:type="dxa"/>
              <w:bottom w:w="80" w:type="dxa"/>
              <w:end w:w="120" w:type="dxa"/>
            </w:tcMar>
          </w:tcPr>
          <w:p>
            <w:pPr>
              <w:spacing w:after="0" w:line="240" w:lineRule="auto"/>
            </w:pPr>
            <w:r>
              <w:rPr>
                <w:rFonts w:ascii="Calibri" w:hAnsi="Calibri"/>
                <w:b w:val="0"/>
                <w:i w:val="0"/>
                <w:color w:val="000000"/>
                <w:sz w:val="15"/>
              </w:rPr>
              <w:t>Genealogy</w:t>
            </w:r>
          </w:p>
        </w:tc>
        <w:tc>
          <w:tcPr>
            <w:tcW w:type="dxa" w:w="2300"/>
            <w:vAlign w:val="top"/>
            <w:tcMar>
              <w:top w:w="80" w:type="dxa"/>
              <w:start w:w="120" w:type="dxa"/>
              <w:bottom w:w="80" w:type="dxa"/>
              <w:end w:w="120" w:type="dxa"/>
            </w:tcMar>
          </w:tcPr>
          <w:p>
            <w:pPr>
              <w:spacing w:after="0" w:line="240" w:lineRule="auto"/>
            </w:pPr>
            <w:r>
              <w:rPr>
                <w:rFonts w:ascii="Calibri" w:hAnsi="Calibri"/>
                <w:b w:val="0"/>
                <w:i w:val="0"/>
                <w:color w:val="000000"/>
                <w:sz w:val="15"/>
              </w:rPr>
              <w:t>Identity facts, typed relationships, dates with precision, sources</w:t>
            </w:r>
          </w:p>
        </w:tc>
        <w:tc>
          <w:tcPr>
            <w:tcW w:type="dxa" w:w="2100"/>
            <w:vAlign w:val="top"/>
            <w:tcMar>
              <w:top w:w="80" w:type="dxa"/>
              <w:start w:w="120" w:type="dxa"/>
              <w:bottom w:w="80" w:type="dxa"/>
              <w:end w:w="120" w:type="dxa"/>
            </w:tcMar>
          </w:tcPr>
          <w:p>
            <w:pPr>
              <w:spacing w:after="0" w:line="240" w:lineRule="auto"/>
            </w:pPr>
            <w:r>
              <w:rPr>
                <w:rFonts w:ascii="Calibri" w:hAnsi="Calibri"/>
                <w:b w:val="0"/>
                <w:i w:val="0"/>
                <w:color w:val="000000"/>
                <w:sz w:val="15"/>
              </w:rPr>
              <w:t>Create an evidence-based family tree</w:t>
            </w:r>
          </w:p>
        </w:tc>
        <w:tc>
          <w:tcPr>
            <w:tcW w:type="dxa" w:w="1660"/>
            <w:vAlign w:val="top"/>
            <w:tcMar>
              <w:top w:w="80" w:type="dxa"/>
              <w:start w:w="120" w:type="dxa"/>
              <w:bottom w:w="80" w:type="dxa"/>
              <w:end w:w="120" w:type="dxa"/>
            </w:tcMar>
          </w:tcPr>
          <w:p>
            <w:pPr>
              <w:spacing w:after="0" w:line="240" w:lineRule="auto"/>
            </w:pPr>
            <w:r>
              <w:rPr>
                <w:rFonts w:ascii="Calibri" w:hAnsi="Calibri"/>
                <w:b w:val="0"/>
                <w:i w:val="0"/>
                <w:color w:val="000000"/>
                <w:sz w:val="15"/>
              </w:rPr>
              <w:t>Consent/participation and approved historical/community basis</w:t>
            </w:r>
          </w:p>
        </w:tc>
        <w:tc>
          <w:tcPr>
            <w:tcW w:type="dxa" w:w="1800"/>
            <w:vAlign w:val="top"/>
            <w:tcMar>
              <w:top w:w="80" w:type="dxa"/>
              <w:start w:w="120" w:type="dxa"/>
              <w:bottom w:w="80" w:type="dxa"/>
              <w:end w:w="120" w:type="dxa"/>
            </w:tcMar>
          </w:tcPr>
          <w:p>
            <w:pPr>
              <w:spacing w:after="0" w:line="240" w:lineRule="auto"/>
            </w:pPr>
            <w:r>
              <w:rPr>
                <w:rFonts w:ascii="Calibri" w:hAnsi="Calibri"/>
                <w:b w:val="0"/>
                <w:i w:val="0"/>
                <w:color w:val="000000"/>
                <w:sz w:val="15"/>
              </w:rPr>
              <w:t>Living-person visibility private by default</w:t>
            </w:r>
          </w:p>
        </w:tc>
      </w:tr>
      <w:tr>
        <w:tc>
          <w:tcPr>
            <w:tcW w:type="dxa" w:w="1500"/>
            <w:vAlign w:val="top"/>
            <w:tcMar>
              <w:top w:w="80" w:type="dxa"/>
              <w:start w:w="120" w:type="dxa"/>
              <w:bottom w:w="80" w:type="dxa"/>
              <w:end w:w="120" w:type="dxa"/>
            </w:tcMar>
          </w:tcPr>
          <w:p>
            <w:pPr>
              <w:spacing w:after="0" w:line="240" w:lineRule="auto"/>
            </w:pPr>
            <w:r>
              <w:rPr>
                <w:rFonts w:ascii="Calibri" w:hAnsi="Calibri"/>
                <w:b w:val="0"/>
                <w:i w:val="0"/>
                <w:color w:val="000000"/>
                <w:sz w:val="15"/>
              </w:rPr>
              <w:t>Nata/Saino and cultural engines</w:t>
            </w:r>
          </w:p>
        </w:tc>
        <w:tc>
          <w:tcPr>
            <w:tcW w:type="dxa" w:w="2300"/>
            <w:vAlign w:val="top"/>
            <w:tcMar>
              <w:top w:w="80" w:type="dxa"/>
              <w:start w:w="120" w:type="dxa"/>
              <w:bottom w:w="80" w:type="dxa"/>
              <w:end w:w="120" w:type="dxa"/>
            </w:tcMar>
          </w:tcPr>
          <w:p>
            <w:pPr>
              <w:spacing w:after="0" w:line="240" w:lineRule="auto"/>
            </w:pPr>
            <w:r>
              <w:rPr>
                <w:rFonts w:ascii="Calibri" w:hAnsi="Calibri"/>
                <w:b w:val="0"/>
                <w:i w:val="0"/>
                <w:color w:val="000000"/>
                <w:sz w:val="15"/>
              </w:rPr>
              <w:t>Approved relationship graph and versioned rules</w:t>
            </w:r>
          </w:p>
        </w:tc>
        <w:tc>
          <w:tcPr>
            <w:tcW w:type="dxa" w:w="2100"/>
            <w:vAlign w:val="top"/>
            <w:tcMar>
              <w:top w:w="80" w:type="dxa"/>
              <w:start w:w="120" w:type="dxa"/>
              <w:bottom w:w="80" w:type="dxa"/>
              <w:end w:w="120" w:type="dxa"/>
            </w:tcMar>
          </w:tcPr>
          <w:p>
            <w:pPr>
              <w:spacing w:after="0" w:line="240" w:lineRule="auto"/>
            </w:pPr>
            <w:r>
              <w:rPr>
                <w:rFonts w:ascii="Calibri" w:hAnsi="Calibri"/>
                <w:b w:val="0"/>
                <w:i w:val="0"/>
                <w:color w:val="000000"/>
                <w:sz w:val="15"/>
              </w:rPr>
              <w:t>Calculate explainable relationships/cultural outputs</w:t>
            </w:r>
          </w:p>
        </w:tc>
        <w:tc>
          <w:tcPr>
            <w:tcW w:type="dxa" w:w="1660"/>
            <w:vAlign w:val="top"/>
            <w:tcMar>
              <w:top w:w="80" w:type="dxa"/>
              <w:start w:w="120" w:type="dxa"/>
              <w:bottom w:w="80" w:type="dxa"/>
              <w:end w:w="120" w:type="dxa"/>
            </w:tcMar>
          </w:tcPr>
          <w:p>
            <w:pPr>
              <w:spacing w:after="0" w:line="240" w:lineRule="auto"/>
            </w:pPr>
            <w:r>
              <w:rPr>
                <w:rFonts w:ascii="Calibri" w:hAnsi="Calibri"/>
                <w:b w:val="0"/>
                <w:i w:val="0"/>
                <w:color w:val="000000"/>
                <w:sz w:val="15"/>
              </w:rPr>
              <w:t>Requested service under approved rules</w:t>
            </w:r>
          </w:p>
        </w:tc>
        <w:tc>
          <w:tcPr>
            <w:tcW w:type="dxa" w:w="1800"/>
            <w:vAlign w:val="top"/>
            <w:tcMar>
              <w:top w:w="80" w:type="dxa"/>
              <w:start w:w="120" w:type="dxa"/>
              <w:bottom w:w="80" w:type="dxa"/>
              <w:end w:w="120" w:type="dxa"/>
            </w:tcMar>
          </w:tcPr>
          <w:p>
            <w:pPr>
              <w:spacing w:after="0" w:line="240" w:lineRule="auto"/>
            </w:pPr>
            <w:r>
              <w:rPr>
                <w:rFonts w:ascii="Calibri" w:hAnsi="Calibri"/>
                <w:b w:val="0"/>
                <w:i w:val="0"/>
                <w:color w:val="000000"/>
                <w:sz w:val="15"/>
              </w:rPr>
              <w:t>No inference from hidden/disputed edges</w:t>
            </w:r>
          </w:p>
        </w:tc>
      </w:tr>
      <w:tr>
        <w:tc>
          <w:tcPr>
            <w:tcW w:type="dxa" w:w="1500"/>
            <w:vAlign w:val="top"/>
            <w:tcMar>
              <w:top w:w="80" w:type="dxa"/>
              <w:start w:w="120" w:type="dxa"/>
              <w:bottom w:w="80" w:type="dxa"/>
              <w:end w:w="120" w:type="dxa"/>
            </w:tcMar>
          </w:tcPr>
          <w:p>
            <w:pPr>
              <w:spacing w:after="0" w:line="240" w:lineRule="auto"/>
            </w:pPr>
            <w:r>
              <w:rPr>
                <w:rFonts w:ascii="Calibri" w:hAnsi="Calibri"/>
                <w:b w:val="0"/>
                <w:i w:val="0"/>
                <w:color w:val="000000"/>
                <w:sz w:val="15"/>
              </w:rPr>
              <w:t>Community and events</w:t>
            </w:r>
          </w:p>
        </w:tc>
        <w:tc>
          <w:tcPr>
            <w:tcW w:type="dxa" w:w="2300"/>
            <w:vAlign w:val="top"/>
            <w:tcMar>
              <w:top w:w="80" w:type="dxa"/>
              <w:start w:w="120" w:type="dxa"/>
              <w:bottom w:w="80" w:type="dxa"/>
              <w:end w:w="120" w:type="dxa"/>
            </w:tcMar>
          </w:tcPr>
          <w:p>
            <w:pPr>
              <w:spacing w:after="0" w:line="240" w:lineRule="auto"/>
            </w:pPr>
            <w:r>
              <w:rPr>
                <w:rFonts w:ascii="Calibri" w:hAnsi="Calibri"/>
                <w:b w:val="0"/>
                <w:i w:val="0"/>
                <w:color w:val="000000"/>
                <w:sz w:val="15"/>
              </w:rPr>
              <w:t>Posts, RSVP, reports, media</w:t>
            </w:r>
          </w:p>
        </w:tc>
        <w:tc>
          <w:tcPr>
            <w:tcW w:type="dxa" w:w="2100"/>
            <w:vAlign w:val="top"/>
            <w:tcMar>
              <w:top w:w="80" w:type="dxa"/>
              <w:start w:w="120" w:type="dxa"/>
              <w:bottom w:w="80" w:type="dxa"/>
              <w:end w:w="120" w:type="dxa"/>
            </w:tcMar>
          </w:tcPr>
          <w:p>
            <w:pPr>
              <w:spacing w:after="0" w:line="240" w:lineRule="auto"/>
            </w:pPr>
            <w:r>
              <w:rPr>
                <w:rFonts w:ascii="Calibri" w:hAnsi="Calibri"/>
                <w:b w:val="0"/>
                <w:i w:val="0"/>
                <w:color w:val="000000"/>
                <w:sz w:val="15"/>
              </w:rPr>
              <w:t>Community communication and safety</w:t>
            </w:r>
          </w:p>
        </w:tc>
        <w:tc>
          <w:tcPr>
            <w:tcW w:type="dxa" w:w="1660"/>
            <w:vAlign w:val="top"/>
            <w:tcMar>
              <w:top w:w="80" w:type="dxa"/>
              <w:start w:w="120" w:type="dxa"/>
              <w:bottom w:w="80" w:type="dxa"/>
              <w:end w:w="120" w:type="dxa"/>
            </w:tcMar>
          </w:tcPr>
          <w:p>
            <w:pPr>
              <w:spacing w:after="0" w:line="240" w:lineRule="auto"/>
            </w:pPr>
            <w:r>
              <w:rPr>
                <w:rFonts w:ascii="Calibri" w:hAnsi="Calibri"/>
                <w:b w:val="0"/>
                <w:i w:val="0"/>
                <w:color w:val="000000"/>
                <w:sz w:val="15"/>
              </w:rPr>
              <w:t>User action/consent; moderation necessity</w:t>
            </w:r>
          </w:p>
        </w:tc>
        <w:tc>
          <w:tcPr>
            <w:tcW w:type="dxa" w:w="1800"/>
            <w:vAlign w:val="top"/>
            <w:tcMar>
              <w:top w:w="80" w:type="dxa"/>
              <w:start w:w="120" w:type="dxa"/>
              <w:bottom w:w="80" w:type="dxa"/>
              <w:end w:w="120" w:type="dxa"/>
            </w:tcMar>
          </w:tcPr>
          <w:p>
            <w:pPr>
              <w:spacing w:after="0" w:line="240" w:lineRule="auto"/>
            </w:pPr>
            <w:r>
              <w:rPr>
                <w:rFonts w:ascii="Calibri" w:hAnsi="Calibri"/>
                <w:b w:val="0"/>
                <w:i w:val="0"/>
                <w:color w:val="000000"/>
                <w:sz w:val="15"/>
              </w:rPr>
              <w:t>Audience controls and reporting</w:t>
            </w:r>
          </w:p>
        </w:tc>
      </w:tr>
      <w:tr>
        <w:tc>
          <w:tcPr>
            <w:tcW w:type="dxa" w:w="1500"/>
            <w:vAlign w:val="top"/>
            <w:tcMar>
              <w:top w:w="80" w:type="dxa"/>
              <w:start w:w="120" w:type="dxa"/>
              <w:bottom w:w="80" w:type="dxa"/>
              <w:end w:w="120" w:type="dxa"/>
            </w:tcMar>
          </w:tcPr>
          <w:p>
            <w:pPr>
              <w:spacing w:after="0" w:line="240" w:lineRule="auto"/>
            </w:pPr>
            <w:r>
              <w:rPr>
                <w:rFonts w:ascii="Calibri" w:hAnsi="Calibri"/>
                <w:b w:val="0"/>
                <w:i w:val="0"/>
                <w:color w:val="000000"/>
                <w:sz w:val="15"/>
              </w:rPr>
              <w:t>Messaging</w:t>
            </w:r>
          </w:p>
        </w:tc>
        <w:tc>
          <w:tcPr>
            <w:tcW w:type="dxa" w:w="2300"/>
            <w:vAlign w:val="top"/>
            <w:tcMar>
              <w:top w:w="80" w:type="dxa"/>
              <w:start w:w="120" w:type="dxa"/>
              <w:bottom w:w="80" w:type="dxa"/>
              <w:end w:w="120" w:type="dxa"/>
            </w:tcMar>
          </w:tcPr>
          <w:p>
            <w:pPr>
              <w:spacing w:after="0" w:line="240" w:lineRule="auto"/>
            </w:pPr>
            <w:r>
              <w:rPr>
                <w:rFonts w:ascii="Calibri" w:hAnsi="Calibri"/>
                <w:b w:val="0"/>
                <w:i w:val="0"/>
                <w:color w:val="000000"/>
                <w:sz w:val="15"/>
              </w:rPr>
              <w:t>Message content, participants, delivery/security metadata</w:t>
            </w:r>
          </w:p>
        </w:tc>
        <w:tc>
          <w:tcPr>
            <w:tcW w:type="dxa" w:w="2100"/>
            <w:vAlign w:val="top"/>
            <w:tcMar>
              <w:top w:w="80" w:type="dxa"/>
              <w:start w:w="120" w:type="dxa"/>
              <w:bottom w:w="80" w:type="dxa"/>
              <w:end w:w="120" w:type="dxa"/>
            </w:tcMar>
          </w:tcPr>
          <w:p>
            <w:pPr>
              <w:spacing w:after="0" w:line="240" w:lineRule="auto"/>
            </w:pPr>
            <w:r>
              <w:rPr>
                <w:rFonts w:ascii="Calibri" w:hAnsi="Calibri"/>
                <w:b w:val="0"/>
                <w:i w:val="0"/>
                <w:color w:val="000000"/>
                <w:sz w:val="15"/>
              </w:rPr>
              <w:t>Private communication</w:t>
            </w:r>
          </w:p>
        </w:tc>
        <w:tc>
          <w:tcPr>
            <w:tcW w:type="dxa" w:w="1660"/>
            <w:vAlign w:val="top"/>
            <w:tcMar>
              <w:top w:w="80" w:type="dxa"/>
              <w:start w:w="120" w:type="dxa"/>
              <w:bottom w:w="80" w:type="dxa"/>
              <w:end w:w="120" w:type="dxa"/>
            </w:tcMar>
          </w:tcPr>
          <w:p>
            <w:pPr>
              <w:spacing w:after="0" w:line="240" w:lineRule="auto"/>
            </w:pPr>
            <w:r>
              <w:rPr>
                <w:rFonts w:ascii="Calibri" w:hAnsi="Calibri"/>
                <w:b w:val="0"/>
                <w:i w:val="0"/>
                <w:color w:val="000000"/>
                <w:sz w:val="15"/>
              </w:rPr>
              <w:t>User-requested service</w:t>
            </w:r>
          </w:p>
        </w:tc>
        <w:tc>
          <w:tcPr>
            <w:tcW w:type="dxa" w:w="1800"/>
            <w:vAlign w:val="top"/>
            <w:tcMar>
              <w:top w:w="80" w:type="dxa"/>
              <w:start w:w="120" w:type="dxa"/>
              <w:bottom w:w="80" w:type="dxa"/>
              <w:end w:w="120" w:type="dxa"/>
            </w:tcMar>
          </w:tcPr>
          <w:p>
            <w:pPr>
              <w:spacing w:after="0" w:line="240" w:lineRule="auto"/>
            </w:pPr>
            <w:r>
              <w:rPr>
                <w:rFonts w:ascii="Calibri" w:hAnsi="Calibri"/>
                <w:b w:val="0"/>
                <w:i w:val="0"/>
                <w:color w:val="000000"/>
                <w:sz w:val="15"/>
              </w:rPr>
              <w:t>No advertising profiling; tightly limited admin access</w:t>
            </w:r>
          </w:p>
        </w:tc>
      </w:tr>
      <w:tr>
        <w:tc>
          <w:tcPr>
            <w:tcW w:type="dxa" w:w="1500"/>
            <w:vAlign w:val="top"/>
            <w:tcMar>
              <w:top w:w="80" w:type="dxa"/>
              <w:start w:w="120" w:type="dxa"/>
              <w:bottom w:w="80" w:type="dxa"/>
              <w:end w:w="120" w:type="dxa"/>
            </w:tcMar>
          </w:tcPr>
          <w:p>
            <w:pPr>
              <w:spacing w:after="0" w:line="240" w:lineRule="auto"/>
            </w:pPr>
            <w:r>
              <w:rPr>
                <w:rFonts w:ascii="Calibri" w:hAnsi="Calibri"/>
                <w:b w:val="0"/>
                <w:i w:val="0"/>
                <w:color w:val="000000"/>
                <w:sz w:val="15"/>
              </w:rPr>
              <w:t>Map</w:t>
            </w:r>
          </w:p>
        </w:tc>
        <w:tc>
          <w:tcPr>
            <w:tcW w:type="dxa" w:w="2300"/>
            <w:vAlign w:val="top"/>
            <w:tcMar>
              <w:top w:w="80" w:type="dxa"/>
              <w:start w:w="120" w:type="dxa"/>
              <w:bottom w:w="80" w:type="dxa"/>
              <w:end w:w="120" w:type="dxa"/>
            </w:tcMar>
          </w:tcPr>
          <w:p>
            <w:pPr>
              <w:spacing w:after="0" w:line="240" w:lineRule="auto"/>
            </w:pPr>
            <w:r>
              <w:rPr>
                <w:rFonts w:ascii="Calibri" w:hAnsi="Calibri"/>
                <w:b w:val="0"/>
                <w:i w:val="0"/>
                <w:color w:val="000000"/>
                <w:sz w:val="15"/>
              </w:rPr>
              <w:t>Coarse, consented location or manually selected locality</w:t>
            </w:r>
          </w:p>
        </w:tc>
        <w:tc>
          <w:tcPr>
            <w:tcW w:type="dxa" w:w="2100"/>
            <w:vAlign w:val="top"/>
            <w:tcMar>
              <w:top w:w="80" w:type="dxa"/>
              <w:start w:w="120" w:type="dxa"/>
              <w:bottom w:w="80" w:type="dxa"/>
              <w:end w:w="120" w:type="dxa"/>
            </w:tcMar>
          </w:tcPr>
          <w:p>
            <w:pPr>
              <w:spacing w:after="0" w:line="240" w:lineRule="auto"/>
            </w:pPr>
            <w:r>
              <w:rPr>
                <w:rFonts w:ascii="Calibri" w:hAnsi="Calibri"/>
                <w:b w:val="0"/>
                <w:i w:val="0"/>
                <w:color w:val="000000"/>
                <w:sz w:val="15"/>
              </w:rPr>
              <w:t>Privacy-preserving branch/community map</w:t>
            </w:r>
          </w:p>
        </w:tc>
        <w:tc>
          <w:tcPr>
            <w:tcW w:type="dxa" w:w="1660"/>
            <w:vAlign w:val="top"/>
            <w:tcMar>
              <w:top w:w="80" w:type="dxa"/>
              <w:start w:w="120" w:type="dxa"/>
              <w:bottom w:w="80" w:type="dxa"/>
              <w:end w:w="120" w:type="dxa"/>
            </w:tcMar>
          </w:tcPr>
          <w:p>
            <w:pPr>
              <w:spacing w:after="0" w:line="240" w:lineRule="auto"/>
            </w:pPr>
            <w:r>
              <w:rPr>
                <w:rFonts w:ascii="Calibri" w:hAnsi="Calibri"/>
                <w:b w:val="0"/>
                <w:i w:val="0"/>
                <w:color w:val="000000"/>
                <w:sz w:val="15"/>
              </w:rPr>
              <w:t>Separate opt-in consent</w:t>
            </w:r>
          </w:p>
        </w:tc>
        <w:tc>
          <w:tcPr>
            <w:tcW w:type="dxa" w:w="1800"/>
            <w:vAlign w:val="top"/>
            <w:tcMar>
              <w:top w:w="80" w:type="dxa"/>
              <w:start w:w="120" w:type="dxa"/>
              <w:bottom w:w="80" w:type="dxa"/>
              <w:end w:w="120" w:type="dxa"/>
            </w:tcMar>
          </w:tcPr>
          <w:p>
            <w:pPr>
              <w:spacing w:after="0" w:line="240" w:lineRule="auto"/>
            </w:pPr>
            <w:r>
              <w:rPr>
                <w:rFonts w:ascii="Calibri" w:hAnsi="Calibri"/>
                <w:b w:val="0"/>
                <w:i w:val="0"/>
                <w:color w:val="000000"/>
                <w:sz w:val="15"/>
              </w:rPr>
              <w:t>No exact home pin by default</w:t>
            </w:r>
          </w:p>
        </w:tc>
      </w:tr>
      <w:tr>
        <w:tc>
          <w:tcPr>
            <w:tcW w:type="dxa" w:w="1500"/>
            <w:vAlign w:val="top"/>
            <w:tcMar>
              <w:top w:w="80" w:type="dxa"/>
              <w:start w:w="120" w:type="dxa"/>
              <w:bottom w:w="80" w:type="dxa"/>
              <w:end w:w="120" w:type="dxa"/>
            </w:tcMar>
          </w:tcPr>
          <w:p>
            <w:pPr>
              <w:spacing w:after="0" w:line="240" w:lineRule="auto"/>
            </w:pPr>
            <w:r>
              <w:rPr>
                <w:rFonts w:ascii="Calibri" w:hAnsi="Calibri"/>
                <w:b w:val="0"/>
                <w:i w:val="0"/>
                <w:color w:val="000000"/>
                <w:sz w:val="15"/>
              </w:rPr>
              <w:t>Operations and security</w:t>
            </w:r>
          </w:p>
        </w:tc>
        <w:tc>
          <w:tcPr>
            <w:tcW w:type="dxa" w:w="2300"/>
            <w:vAlign w:val="top"/>
            <w:tcMar>
              <w:top w:w="80" w:type="dxa"/>
              <w:start w:w="120" w:type="dxa"/>
              <w:bottom w:w="80" w:type="dxa"/>
              <w:end w:w="120" w:type="dxa"/>
            </w:tcMar>
          </w:tcPr>
          <w:p>
            <w:pPr>
              <w:spacing w:after="0" w:line="240" w:lineRule="auto"/>
            </w:pPr>
            <w:r>
              <w:rPr>
                <w:rFonts w:ascii="Calibri" w:hAnsi="Calibri"/>
                <w:b w:val="0"/>
                <w:i w:val="0"/>
                <w:color w:val="000000"/>
                <w:sz w:val="15"/>
              </w:rPr>
              <w:t>Device/session, audit, crash and security events</w:t>
            </w:r>
          </w:p>
        </w:tc>
        <w:tc>
          <w:tcPr>
            <w:tcW w:type="dxa" w:w="2100"/>
            <w:vAlign w:val="top"/>
            <w:tcMar>
              <w:top w:w="80" w:type="dxa"/>
              <w:start w:w="120" w:type="dxa"/>
              <w:bottom w:w="80" w:type="dxa"/>
              <w:end w:w="120" w:type="dxa"/>
            </w:tcMar>
          </w:tcPr>
          <w:p>
            <w:pPr>
              <w:spacing w:after="0" w:line="240" w:lineRule="auto"/>
            </w:pPr>
            <w:r>
              <w:rPr>
                <w:rFonts w:ascii="Calibri" w:hAnsi="Calibri"/>
                <w:b w:val="0"/>
                <w:i w:val="0"/>
                <w:color w:val="000000"/>
                <w:sz w:val="15"/>
              </w:rPr>
              <w:t>Reliability, abuse prevention and incident response</w:t>
            </w:r>
          </w:p>
        </w:tc>
        <w:tc>
          <w:tcPr>
            <w:tcW w:type="dxa" w:w="1660"/>
            <w:vAlign w:val="top"/>
            <w:tcMar>
              <w:top w:w="80" w:type="dxa"/>
              <w:start w:w="120" w:type="dxa"/>
              <w:bottom w:w="80" w:type="dxa"/>
              <w:end w:w="120" w:type="dxa"/>
            </w:tcMar>
          </w:tcPr>
          <w:p>
            <w:pPr>
              <w:spacing w:after="0" w:line="240" w:lineRule="auto"/>
            </w:pPr>
            <w:r>
              <w:rPr>
                <w:rFonts w:ascii="Calibri" w:hAnsi="Calibri"/>
                <w:b w:val="0"/>
                <w:i w:val="0"/>
                <w:color w:val="000000"/>
                <w:sz w:val="15"/>
              </w:rPr>
              <w:t>Security necessity</w:t>
            </w:r>
          </w:p>
        </w:tc>
        <w:tc>
          <w:tcPr>
            <w:tcW w:type="dxa" w:w="1800"/>
            <w:vAlign w:val="top"/>
            <w:tcMar>
              <w:top w:w="80" w:type="dxa"/>
              <w:start w:w="120" w:type="dxa"/>
              <w:bottom w:w="80" w:type="dxa"/>
              <w:end w:w="120" w:type="dxa"/>
            </w:tcMar>
          </w:tcPr>
          <w:p>
            <w:pPr>
              <w:spacing w:after="0" w:line="240" w:lineRule="auto"/>
            </w:pPr>
            <w:r>
              <w:rPr>
                <w:rFonts w:ascii="Calibri" w:hAnsi="Calibri"/>
                <w:b w:val="0"/>
                <w:i w:val="0"/>
                <w:color w:val="000000"/>
                <w:sz w:val="15"/>
              </w:rPr>
              <w:t>Minimized, short retention, access-controlled</w:t>
            </w:r>
          </w:p>
        </w:tc>
      </w:tr>
    </w:tbl>
    <w:p>
      <w:pPr>
        <w:spacing w:after="0"/>
      </w:pPr>
    </w:p>
    <w:p>
      <w:pPr>
        <w:pStyle w:val="Heading1"/>
      </w:pPr>
      <w:r>
        <w:t>6. Consent, notice and choice</w:t>
      </w:r>
    </w:p>
    <w:p>
      <w:pPr>
        <w:spacing w:after="120" w:line="264" w:lineRule="auto"/>
      </w:pPr>
      <w:r>
        <w:rPr>
          <w:rFonts w:ascii="Calibri" w:hAnsi="Calibri"/>
          <w:b w:val="0"/>
          <w:i w:val="0"/>
          <w:color w:val="000000"/>
          <w:sz w:val="22"/>
        </w:rPr>
        <w:t>Consent must be specific, informed, freely given where relied upon, recorded and withdrawable. Consent is not bundled with unrelated processing. A withdrawal stops future optional processing without invalidating necessary prior records or approved legal retention.</w:t>
      </w:r>
    </w:p>
    <w:p>
      <w:pPr>
        <w:pStyle w:val="ListBullet"/>
        <w:spacing w:after="80" w:line="280" w:lineRule="auto"/>
        <w:ind w:left="720" w:hanging="360"/>
      </w:pPr>
      <w:r>
        <w:rPr>
          <w:rFonts w:ascii="Calibri" w:hAnsi="Calibri"/>
          <w:b w:val="0"/>
          <w:i w:val="0"/>
          <w:color w:val="000000"/>
          <w:sz w:val="22"/>
        </w:rPr>
        <w:t>Show a concise notice at the point of collection, with a link to the full policy.</w:t>
      </w:r>
    </w:p>
    <w:p>
      <w:pPr>
        <w:pStyle w:val="ListBullet"/>
        <w:spacing w:after="80" w:line="280" w:lineRule="auto"/>
        <w:ind w:left="720" w:hanging="360"/>
      </w:pPr>
      <w:r>
        <w:rPr>
          <w:rFonts w:ascii="Calibri" w:hAnsi="Calibri"/>
          <w:b w:val="0"/>
          <w:i w:val="0"/>
          <w:color w:val="000000"/>
          <w:sz w:val="22"/>
        </w:rPr>
        <w:t>Separate choices for public profile visibility, exact/coarse location, photos/media, notifications, research/analytics and optional directory listing.</w:t>
      </w:r>
    </w:p>
    <w:p>
      <w:pPr>
        <w:pStyle w:val="ListBullet"/>
        <w:spacing w:after="80" w:line="280" w:lineRule="auto"/>
        <w:ind w:left="720" w:hanging="360"/>
      </w:pPr>
      <w:r>
        <w:rPr>
          <w:rFonts w:ascii="Calibri" w:hAnsi="Calibri"/>
          <w:b w:val="0"/>
          <w:i w:val="0"/>
          <w:color w:val="000000"/>
          <w:sz w:val="22"/>
        </w:rPr>
        <w:t>Record notice version, language, purpose, decision, timestamp, actor and withdrawal history.</w:t>
      </w:r>
    </w:p>
    <w:p>
      <w:pPr>
        <w:pStyle w:val="ListBullet"/>
        <w:spacing w:after="80" w:line="280" w:lineRule="auto"/>
        <w:ind w:left="720" w:hanging="360"/>
      </w:pPr>
      <w:r>
        <w:rPr>
          <w:rFonts w:ascii="Calibri" w:hAnsi="Calibri"/>
          <w:b w:val="0"/>
          <w:i w:val="0"/>
          <w:color w:val="000000"/>
          <w:sz w:val="22"/>
        </w:rPr>
        <w:t>Provide Nepali and English notices with equivalent meaning; resolve any legal-language precedence explicitly.</w:t>
      </w:r>
    </w:p>
    <w:p>
      <w:pPr>
        <w:pStyle w:val="ListBullet"/>
        <w:spacing w:after="80" w:line="280" w:lineRule="auto"/>
        <w:ind w:left="720" w:hanging="360"/>
      </w:pPr>
      <w:r>
        <w:rPr>
          <w:rFonts w:ascii="Calibri" w:hAnsi="Calibri"/>
          <w:b w:val="0"/>
          <w:i w:val="0"/>
          <w:color w:val="000000"/>
          <w:sz w:val="22"/>
        </w:rPr>
        <w:t>Do not use preselected optional consent or make optional visibility a condition of account creation.</w:t>
      </w:r>
    </w:p>
    <w:p>
      <w:pPr>
        <w:pStyle w:val="ListBullet"/>
        <w:spacing w:after="80" w:line="280" w:lineRule="auto"/>
        <w:ind w:left="720" w:hanging="360"/>
      </w:pPr>
      <w:r>
        <w:rPr>
          <w:rFonts w:ascii="Calibri" w:hAnsi="Calibri"/>
          <w:b w:val="0"/>
          <w:i w:val="0"/>
          <w:color w:val="000000"/>
          <w:sz w:val="22"/>
        </w:rPr>
        <w:t>When one member submits information about another person, treat it as a claim requiring notice, verification and appropriate visibility—not as the other person's consent.</w:t>
      </w:r>
    </w:p>
    <w:p>
      <w:pPr>
        <w:pStyle w:val="Heading2"/>
      </w:pPr>
      <w:r>
        <w:t>6.1 Children and young persons</w:t>
      </w:r>
    </w:p>
    <w:p>
      <w:pPr>
        <w:spacing w:after="120" w:line="264" w:lineRule="auto"/>
      </w:pPr>
      <w:r>
        <w:rPr>
          <w:rFonts w:ascii="Calibri" w:hAnsi="Calibri"/>
          <w:b w:val="0"/>
          <w:i w:val="0"/>
          <w:color w:val="000000"/>
          <w:sz w:val="22"/>
        </w:rPr>
        <w:t>Until legal counsel approves a specific age and verification model, accounts identified as belonging to minors are restricted. The system must prioritize the child's best interests, obtain verified parent/guardian authorization where required, limit discoverability, disable exact location and public contact, restrict direct messaging from unknown adults, and provide rapid reporting/removal channels. Age must not be inferred solely from appearance or name.</w:t>
      </w:r>
    </w:p>
    <w:p>
      <w:pPr>
        <w:pStyle w:val="Heading1"/>
      </w:pPr>
      <w:r>
        <w:t>7. Genealogy-specific privacy controls</w:t>
      </w:r>
    </w:p>
    <w:p>
      <w:pPr>
        <w:pStyle w:val="ListBullet"/>
        <w:spacing w:after="80" w:line="280" w:lineRule="auto"/>
        <w:ind w:left="720" w:hanging="360"/>
      </w:pPr>
      <w:r>
        <w:rPr>
          <w:rFonts w:ascii="Calibri" w:hAnsi="Calibri"/>
          <w:b w:val="0"/>
          <w:i w:val="0"/>
          <w:color w:val="000000"/>
          <w:sz w:val="22"/>
        </w:rPr>
        <w:t>Display only the minimum fields allowed by the viewer's relationship, branch, consent and authority scope.</w:t>
      </w:r>
    </w:p>
    <w:p>
      <w:pPr>
        <w:pStyle w:val="ListBullet"/>
        <w:spacing w:after="80" w:line="280" w:lineRule="auto"/>
        <w:ind w:left="720" w:hanging="360"/>
      </w:pPr>
      <w:r>
        <w:rPr>
          <w:rFonts w:ascii="Calibri" w:hAnsi="Calibri"/>
          <w:b w:val="0"/>
          <w:i w:val="0"/>
          <w:color w:val="000000"/>
          <w:sz w:val="22"/>
        </w:rPr>
        <w:t>Represent claims, sources, confidence and disputes separately; do not overwrite competing evidence.</w:t>
      </w:r>
    </w:p>
    <w:p>
      <w:pPr>
        <w:pStyle w:val="ListBullet"/>
        <w:spacing w:after="80" w:line="280" w:lineRule="auto"/>
        <w:ind w:left="720" w:hanging="360"/>
      </w:pPr>
      <w:r>
        <w:rPr>
          <w:rFonts w:ascii="Calibri" w:hAnsi="Calibri"/>
          <w:b w:val="0"/>
          <w:i w:val="0"/>
          <w:color w:val="000000"/>
          <w:sz w:val="22"/>
        </w:rPr>
        <w:t>Hide sensitive edge types from unauthorized viewers even when adjacent people are visible.</w:t>
      </w:r>
    </w:p>
    <w:p>
      <w:pPr>
        <w:pStyle w:val="ListBullet"/>
        <w:spacing w:after="80" w:line="280" w:lineRule="auto"/>
        <w:ind w:left="720" w:hanging="360"/>
      </w:pPr>
      <w:r>
        <w:rPr>
          <w:rFonts w:ascii="Calibri" w:hAnsi="Calibri"/>
          <w:b w:val="0"/>
          <w:i w:val="0"/>
          <w:color w:val="000000"/>
          <w:sz w:val="22"/>
        </w:rPr>
        <w:t>Apply anti-enumeration controls to search and APIs; rate-limit traversal and prevent bulk graph extraction.</w:t>
      </w:r>
    </w:p>
    <w:p>
      <w:pPr>
        <w:pStyle w:val="ListBullet"/>
        <w:spacing w:after="80" w:line="280" w:lineRule="auto"/>
        <w:ind w:left="720" w:hanging="360"/>
      </w:pPr>
      <w:r>
        <w:rPr>
          <w:rFonts w:ascii="Calibri" w:hAnsi="Calibri"/>
          <w:b w:val="0"/>
          <w:i w:val="0"/>
          <w:color w:val="000000"/>
          <w:sz w:val="22"/>
        </w:rPr>
        <w:t>For deceased persons, still protect surviving relatives, private correspondence, disputed claims and restricted sources.</w:t>
      </w:r>
    </w:p>
    <w:p>
      <w:pPr>
        <w:pStyle w:val="ListBullet"/>
        <w:spacing w:after="80" w:line="280" w:lineRule="auto"/>
        <w:ind w:left="720" w:hanging="360"/>
      </w:pPr>
      <w:r>
        <w:rPr>
          <w:rFonts w:ascii="Calibri" w:hAnsi="Calibri"/>
          <w:b w:val="0"/>
          <w:i w:val="0"/>
          <w:color w:val="000000"/>
          <w:sz w:val="22"/>
        </w:rPr>
        <w:t>When a person requests account deletion, separate account credentials and contributed content from independently sourced shared genealogy. Delete or anonymize what is not required; retain only approved minimum facts with a documented reason and challenge mechanism.</w:t>
      </w:r>
    </w:p>
    <w:p>
      <w:pPr>
        <w:pStyle w:val="ListBullet"/>
        <w:spacing w:after="80" w:line="280" w:lineRule="auto"/>
        <w:ind w:left="720" w:hanging="360"/>
      </w:pPr>
      <w:r>
        <w:rPr>
          <w:rFonts w:ascii="Calibri" w:hAnsi="Calibri"/>
          <w:b w:val="0"/>
          <w:i w:val="0"/>
          <w:color w:val="000000"/>
          <w:sz w:val="22"/>
        </w:rPr>
        <w:t>Nata/Saino, Jutho, Tithi/Shraddha and other cultural outputs must show the rule version and must not reveal hidden relationships through inference.</w:t>
      </w:r>
    </w:p>
    <w:p>
      <w:pPr>
        <w:pStyle w:val="Heading1"/>
      </w:pPr>
      <w:r>
        <w:t>8. Transparency notice baseline</w:t>
      </w:r>
    </w:p>
    <w:p>
      <w:pPr>
        <w:spacing w:after="120" w:line="264" w:lineRule="auto"/>
      </w:pPr>
      <w:r>
        <w:rPr>
          <w:rFonts w:ascii="Calibri" w:hAnsi="Calibri"/>
          <w:b w:val="0"/>
          <w:i w:val="0"/>
          <w:color w:val="000000"/>
          <w:sz w:val="22"/>
        </w:rPr>
        <w:t>The production privacy notice must clearly identify the organization, contact details, categories of information, sources, purposes, recipients, hosting locations, retention, security, user choices, complaint method, children's protections, deletion/correction process and effective date. It must be available before sign-up and from app settings and the public website.</w:t>
      </w: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vAlign w:val="top"/>
            <w:tcMar>
              <w:top w:w="80" w:type="dxa"/>
              <w:start w:w="120" w:type="dxa"/>
              <w:bottom w:w="80" w:type="dxa"/>
              <w:end w:w="120" w:type="dxa"/>
            </w:tcMar>
            <w:shd w:fill="FCE4D6"/>
          </w:tcPr>
          <w:p>
            <w:pPr>
              <w:spacing w:after="40"/>
            </w:pPr>
            <w:r>
              <w:rPr>
                <w:rFonts w:ascii="Calibri" w:hAnsi="Calibri"/>
                <w:b w:val="0"/>
                <w:i w:val="0"/>
                <w:color w:val="9B1C1C"/>
                <w:sz w:val="17"/>
              </w:rPr>
              <w:t>Confirmed: legal entity / policy owner - Jyphra Technology Pvt. Ltd.; internal SDLC effective date - 8 September 2026. Remaining publication placeholders: [REGISTRATION/ADDRESS], [PRIVACY CONTACT], [COMPLAINT CHANNEL], [HOSTING COUNTRIES], [PROCESSOR LIST] and [COUNSEL APPROVAL REFERENCE]. These must be completed before production publication.</w:t>
            </w:r>
            <w:r>
              <w:rPr>
                <w:rFonts w:ascii="Calibri" w:hAnsi="Calibri"/>
                <w:b w:val="0"/>
                <w:i w:val="0"/>
                <w:color w:val="000000"/>
                <w:sz w:val="17"/>
              </w:rPr>
            </w:r>
          </w:p>
        </w:tc>
      </w:tr>
    </w:tbl>
    <w:p>
      <w:pPr>
        <w:spacing w:after="0"/>
      </w:pPr>
    </w:p>
    <w:p>
      <w:pPr>
        <w:pStyle w:val="Heading1"/>
      </w:pPr>
      <w:r>
        <w:t>9. Data-subject and member request workflow</w:t>
      </w:r>
    </w:p>
    <w:p>
      <w:pPr>
        <w:pStyle w:val="ListNumber"/>
        <w:spacing w:after="100"/>
        <w:ind w:left="720" w:hanging="360"/>
      </w:pPr>
      <w:r>
        <w:rPr>
          <w:rFonts w:ascii="Calibri" w:hAnsi="Calibri"/>
          <w:b w:val="0"/>
          <w:i w:val="0"/>
          <w:color w:val="000000"/>
          <w:sz w:val="22"/>
        </w:rPr>
        <w:t>Receive: provide in-app and web routes for access, correction, consent withdrawal, objection/restriction, portability where offered, and account/data deletion.</w:t>
      </w:r>
    </w:p>
    <w:p>
      <w:pPr>
        <w:pStyle w:val="ListNumber"/>
        <w:spacing w:after="100"/>
        <w:ind w:left="720" w:hanging="360"/>
      </w:pPr>
      <w:r>
        <w:rPr>
          <w:rFonts w:ascii="Calibri" w:hAnsi="Calibri"/>
          <w:b w:val="0"/>
          <w:i w:val="0"/>
          <w:color w:val="000000"/>
          <w:sz w:val="22"/>
        </w:rPr>
        <w:t>Authenticate: verify identity proportionately without collecting excessive new documentation.</w:t>
      </w:r>
    </w:p>
    <w:p>
      <w:pPr>
        <w:pStyle w:val="ListNumber"/>
        <w:spacing w:after="100"/>
        <w:ind w:left="720" w:hanging="360"/>
      </w:pPr>
      <w:r>
        <w:rPr>
          <w:rFonts w:ascii="Calibri" w:hAnsi="Calibri"/>
          <w:b w:val="0"/>
          <w:i w:val="0"/>
          <w:color w:val="000000"/>
          <w:sz w:val="22"/>
        </w:rPr>
        <w:t>Scope: identify account data, genealogy claims, messages, media, audit/security records, processors and backups affected.</w:t>
      </w:r>
    </w:p>
    <w:p>
      <w:pPr>
        <w:pStyle w:val="ListNumber"/>
        <w:spacing w:after="100"/>
        <w:ind w:left="720" w:hanging="360"/>
      </w:pPr>
      <w:r>
        <w:rPr>
          <w:rFonts w:ascii="Calibri" w:hAnsi="Calibri"/>
          <w:b w:val="0"/>
          <w:i w:val="0"/>
          <w:color w:val="000000"/>
          <w:sz w:val="22"/>
        </w:rPr>
        <w:t>Assess: determine what can be fulfilled, what must be retained, and whether another person's rights would be affected.</w:t>
      </w:r>
    </w:p>
    <w:p>
      <w:pPr>
        <w:pStyle w:val="ListNumber"/>
        <w:spacing w:after="100"/>
        <w:ind w:left="720" w:hanging="360"/>
      </w:pPr>
      <w:r>
        <w:rPr>
          <w:rFonts w:ascii="Calibri" w:hAnsi="Calibri"/>
          <w:b w:val="0"/>
          <w:i w:val="0"/>
          <w:color w:val="000000"/>
          <w:sz w:val="22"/>
        </w:rPr>
        <w:t>Approve: DPO or delegated privacy authority records the decision and legal/policy basis.</w:t>
      </w:r>
    </w:p>
    <w:p>
      <w:pPr>
        <w:pStyle w:val="ListNumber"/>
        <w:spacing w:after="100"/>
        <w:ind w:left="720" w:hanging="360"/>
      </w:pPr>
      <w:r>
        <w:rPr>
          <w:rFonts w:ascii="Calibri" w:hAnsi="Calibri"/>
          <w:b w:val="0"/>
          <w:i w:val="0"/>
          <w:color w:val="000000"/>
          <w:sz w:val="22"/>
        </w:rPr>
        <w:t>Execute: delete, anonymize, correct, restrict or export across production systems and instruct processors.</w:t>
      </w:r>
    </w:p>
    <w:p>
      <w:pPr>
        <w:pStyle w:val="ListNumber"/>
        <w:spacing w:after="100"/>
        <w:ind w:left="720" w:hanging="360"/>
      </w:pPr>
      <w:r>
        <w:rPr>
          <w:rFonts w:ascii="Calibri" w:hAnsi="Calibri"/>
          <w:b w:val="0"/>
          <w:i w:val="0"/>
          <w:color w:val="000000"/>
          <w:sz w:val="22"/>
        </w:rPr>
        <w:t>Communicate: confirm outcome, retained categories/reasons, expected backup expiry and appeal/complaint route.</w:t>
      </w:r>
    </w:p>
    <w:p>
      <w:pPr>
        <w:pStyle w:val="ListNumber"/>
        <w:spacing w:after="100"/>
        <w:ind w:left="720" w:hanging="360"/>
      </w:pPr>
      <w:r>
        <w:rPr>
          <w:rFonts w:ascii="Calibri" w:hAnsi="Calibri"/>
          <w:b w:val="0"/>
          <w:i w:val="0"/>
          <w:color w:val="000000"/>
          <w:sz w:val="22"/>
        </w:rPr>
        <w:t>Audit: retain a minimal request record without retaining the deleted content itself.</w:t>
      </w:r>
    </w:p>
    <w:p>
      <w:pPr>
        <w:spacing w:after="120" w:line="264" w:lineRule="auto"/>
      </w:pPr>
      <w:r>
        <w:rPr>
          <w:rFonts w:ascii="Calibri" w:hAnsi="Calibri"/>
          <w:b w:val="0"/>
          <w:i w:val="0"/>
          <w:color w:val="000000"/>
          <w:sz w:val="22"/>
        </w:rPr>
        <w:t>Target service standard: acknowledge within 3 business days and complete ordinary verified requests within 30 calendar days. This is an internal service target, not a statement of Nepal's statutory deadline; legal counsel must confirm applicable deadlines and exceptions.</w:t>
      </w:r>
    </w:p>
    <w:p>
      <w:pPr>
        <w:pStyle w:val="Heading1"/>
      </w:pPr>
      <w:r>
        <w:t>10. Account deletion design</w:t>
      </w:r>
    </w:p>
    <w:p>
      <w:pPr>
        <w:spacing w:after="120" w:line="264" w:lineRule="auto"/>
      </w:pPr>
      <w:r>
        <w:rPr>
          <w:rFonts w:ascii="Calibri" w:hAnsi="Calibri"/>
          <w:b w:val="0"/>
          <w:i w:val="0"/>
          <w:color w:val="000000"/>
          <w:sz w:val="22"/>
        </w:rPr>
        <w:t>Because the app creates accounts, Release 1.0 must provide an in-app deletion initiation path, plus a functional public web route suitable for Google Play. The process must delete or anonymize associated data that is not legally or operationally required, request deletion from processors, and clearly explain any narrowly retained categories and periods.</w:t>
      </w:r>
    </w:p>
    <w:tbl>
      <w:tblPr>
        <w:tblStyle w:val="TableGrid"/>
        <w:tblW w:type="dxa" w:w="9360"/>
        <w:tblLayout w:type="fixed"/>
        <w:tblLook w:firstColumn="1" w:firstRow="1" w:lastColumn="0" w:lastRow="0" w:noHBand="0" w:noVBand="1" w:val="04A0"/>
        <w:jc w:val="left"/>
        <w:tblInd w:w="120" w:type="dxa"/>
        <w:tblInd w:w="120" w:type="dxa"/>
      </w:tblPr>
      <w:tblGrid>
        <w:gridCol w:w="1500"/>
        <w:gridCol w:w="5660"/>
        <w:gridCol w:w="2200"/>
      </w:tblGrid>
      <w:tr>
        <w:trPr>
          <w:tblHeader w:val="true"/>
        </w:trPr>
        <w:tc>
          <w:tcPr>
            <w:tcW w:type="dxa" w:w="1500"/>
            <w:vAlign w:val="top"/>
            <w:tcMar>
              <w:top w:w="80" w:type="dxa"/>
              <w:start w:w="120" w:type="dxa"/>
              <w:bottom w:w="80" w:type="dxa"/>
              <w:end w:w="120" w:type="dxa"/>
            </w:tcMar>
            <w:shd w:fill="E8EEF5"/>
          </w:tcPr>
          <w:p>
            <w:pPr>
              <w:spacing w:after="0"/>
            </w:pPr>
            <w:r>
              <w:rPr>
                <w:rFonts w:ascii="Calibri" w:hAnsi="Calibri"/>
                <w:b/>
                <w:i w:val="0"/>
                <w:color w:val="17365D"/>
                <w:sz w:val="16"/>
              </w:rPr>
              <w:t>Stage</w:t>
            </w:r>
          </w:p>
        </w:tc>
        <w:tc>
          <w:tcPr>
            <w:tcW w:type="dxa" w:w="5660"/>
            <w:vAlign w:val="top"/>
            <w:tcMar>
              <w:top w:w="80" w:type="dxa"/>
              <w:start w:w="120" w:type="dxa"/>
              <w:bottom w:w="80" w:type="dxa"/>
              <w:end w:w="120" w:type="dxa"/>
            </w:tcMar>
            <w:shd w:fill="E8EEF5"/>
          </w:tcPr>
          <w:p>
            <w:pPr>
              <w:spacing w:after="0"/>
            </w:pPr>
            <w:r>
              <w:rPr>
                <w:rFonts w:ascii="Calibri" w:hAnsi="Calibri"/>
                <w:b/>
                <w:i w:val="0"/>
                <w:color w:val="17365D"/>
                <w:sz w:val="16"/>
              </w:rPr>
              <w:t>System behavior</w:t>
            </w:r>
          </w:p>
        </w:tc>
        <w:tc>
          <w:tcPr>
            <w:tcW w:type="dxa" w:w="2200"/>
            <w:vAlign w:val="top"/>
            <w:tcMar>
              <w:top w:w="80" w:type="dxa"/>
              <w:start w:w="120" w:type="dxa"/>
              <w:bottom w:w="80" w:type="dxa"/>
              <w:end w:w="120" w:type="dxa"/>
            </w:tcMar>
            <w:shd w:fill="E8EEF5"/>
          </w:tcPr>
          <w:p>
            <w:pPr>
              <w:spacing w:after="0"/>
            </w:pPr>
            <w:r>
              <w:rPr>
                <w:rFonts w:ascii="Calibri" w:hAnsi="Calibri"/>
                <w:b/>
                <w:i w:val="0"/>
                <w:color w:val="17365D"/>
                <w:sz w:val="16"/>
              </w:rPr>
              <w:t>Evidence</w:t>
            </w:r>
          </w:p>
        </w:tc>
      </w:tr>
      <w:tr>
        <w:tc>
          <w:tcPr>
            <w:tcW w:type="dxa" w:w="1500"/>
            <w:vAlign w:val="top"/>
            <w:tcMar>
              <w:top w:w="80" w:type="dxa"/>
              <w:start w:w="120" w:type="dxa"/>
              <w:bottom w:w="80" w:type="dxa"/>
              <w:end w:w="120" w:type="dxa"/>
            </w:tcMar>
          </w:tcPr>
          <w:p>
            <w:pPr>
              <w:spacing w:after="0" w:line="240" w:lineRule="auto"/>
            </w:pPr>
            <w:r>
              <w:rPr>
                <w:rFonts w:ascii="Calibri" w:hAnsi="Calibri"/>
                <w:b w:val="0"/>
                <w:i w:val="0"/>
                <w:color w:val="000000"/>
                <w:sz w:val="16"/>
              </w:rPr>
              <w:t>Request</w:t>
            </w:r>
          </w:p>
        </w:tc>
        <w:tc>
          <w:tcPr>
            <w:tcW w:type="dxa" w:w="5660"/>
            <w:vAlign w:val="top"/>
            <w:tcMar>
              <w:top w:w="80" w:type="dxa"/>
              <w:start w:w="120" w:type="dxa"/>
              <w:bottom w:w="80" w:type="dxa"/>
              <w:end w:w="120" w:type="dxa"/>
            </w:tcMar>
          </w:tcPr>
          <w:p>
            <w:pPr>
              <w:spacing w:after="0" w:line="240" w:lineRule="auto"/>
            </w:pPr>
            <w:r>
              <w:rPr>
                <w:rFonts w:ascii="Calibri" w:hAnsi="Calibri"/>
                <w:b w:val="0"/>
                <w:i w:val="0"/>
                <w:color w:val="000000"/>
                <w:sz w:val="16"/>
              </w:rPr>
              <w:t>User selects Delete account; sees consequences and genealogy distinction</w:t>
            </w:r>
          </w:p>
        </w:tc>
        <w:tc>
          <w:tcPr>
            <w:tcW w:type="dxa" w:w="2200"/>
            <w:vAlign w:val="top"/>
            <w:tcMar>
              <w:top w:w="80" w:type="dxa"/>
              <w:start w:w="120" w:type="dxa"/>
              <w:bottom w:w="80" w:type="dxa"/>
              <w:end w:w="120" w:type="dxa"/>
            </w:tcMar>
          </w:tcPr>
          <w:p>
            <w:pPr>
              <w:spacing w:after="0" w:line="240" w:lineRule="auto"/>
            </w:pPr>
            <w:r>
              <w:rPr>
                <w:rFonts w:ascii="Calibri" w:hAnsi="Calibri"/>
                <w:b w:val="0"/>
                <w:i w:val="0"/>
                <w:color w:val="000000"/>
                <w:sz w:val="16"/>
              </w:rPr>
              <w:t>Request ID, policy version, timestamp</w:t>
            </w:r>
          </w:p>
        </w:tc>
      </w:tr>
      <w:tr>
        <w:tc>
          <w:tcPr>
            <w:tcW w:type="dxa" w:w="1500"/>
            <w:vAlign w:val="top"/>
            <w:tcMar>
              <w:top w:w="80" w:type="dxa"/>
              <w:start w:w="120" w:type="dxa"/>
              <w:bottom w:w="80" w:type="dxa"/>
              <w:end w:w="120" w:type="dxa"/>
            </w:tcMar>
          </w:tcPr>
          <w:p>
            <w:pPr>
              <w:spacing w:after="0" w:line="240" w:lineRule="auto"/>
            </w:pPr>
            <w:r>
              <w:rPr>
                <w:rFonts w:ascii="Calibri" w:hAnsi="Calibri"/>
                <w:b w:val="0"/>
                <w:i w:val="0"/>
                <w:color w:val="000000"/>
                <w:sz w:val="16"/>
              </w:rPr>
              <w:t>Verification</w:t>
            </w:r>
          </w:p>
        </w:tc>
        <w:tc>
          <w:tcPr>
            <w:tcW w:type="dxa" w:w="5660"/>
            <w:vAlign w:val="top"/>
            <w:tcMar>
              <w:top w:w="80" w:type="dxa"/>
              <w:start w:w="120" w:type="dxa"/>
              <w:bottom w:w="80" w:type="dxa"/>
              <w:end w:w="120" w:type="dxa"/>
            </w:tcMar>
          </w:tcPr>
          <w:p>
            <w:pPr>
              <w:spacing w:after="0" w:line="240" w:lineRule="auto"/>
            </w:pPr>
            <w:r>
              <w:rPr>
                <w:rFonts w:ascii="Calibri" w:hAnsi="Calibri"/>
                <w:b w:val="0"/>
                <w:i w:val="0"/>
                <w:color w:val="000000"/>
                <w:sz w:val="16"/>
              </w:rPr>
              <w:t>Recent authentication or proportionate identity check</w:t>
            </w:r>
          </w:p>
        </w:tc>
        <w:tc>
          <w:tcPr>
            <w:tcW w:type="dxa" w:w="2200"/>
            <w:vAlign w:val="top"/>
            <w:tcMar>
              <w:top w:w="80" w:type="dxa"/>
              <w:start w:w="120" w:type="dxa"/>
              <w:bottom w:w="80" w:type="dxa"/>
              <w:end w:w="120" w:type="dxa"/>
            </w:tcMar>
          </w:tcPr>
          <w:p>
            <w:pPr>
              <w:spacing w:after="0" w:line="240" w:lineRule="auto"/>
            </w:pPr>
            <w:r>
              <w:rPr>
                <w:rFonts w:ascii="Calibri" w:hAnsi="Calibri"/>
                <w:b w:val="0"/>
                <w:i w:val="0"/>
                <w:color w:val="000000"/>
                <w:sz w:val="16"/>
              </w:rPr>
              <w:t>Verification event; no plaintext credentials</w:t>
            </w:r>
          </w:p>
        </w:tc>
      </w:tr>
      <w:tr>
        <w:tc>
          <w:tcPr>
            <w:tcW w:type="dxa" w:w="1500"/>
            <w:vAlign w:val="top"/>
            <w:tcMar>
              <w:top w:w="80" w:type="dxa"/>
              <w:start w:w="120" w:type="dxa"/>
              <w:bottom w:w="80" w:type="dxa"/>
              <w:end w:w="120" w:type="dxa"/>
            </w:tcMar>
          </w:tcPr>
          <w:p>
            <w:pPr>
              <w:spacing w:after="0" w:line="240" w:lineRule="auto"/>
            </w:pPr>
            <w:r>
              <w:rPr>
                <w:rFonts w:ascii="Calibri" w:hAnsi="Calibri"/>
                <w:b w:val="0"/>
                <w:i w:val="0"/>
                <w:color w:val="000000"/>
                <w:sz w:val="16"/>
              </w:rPr>
              <w:t>Cooling-off</w:t>
            </w:r>
          </w:p>
        </w:tc>
        <w:tc>
          <w:tcPr>
            <w:tcW w:type="dxa" w:w="5660"/>
            <w:vAlign w:val="top"/>
            <w:tcMar>
              <w:top w:w="80" w:type="dxa"/>
              <w:start w:w="120" w:type="dxa"/>
              <w:bottom w:w="80" w:type="dxa"/>
              <w:end w:w="120" w:type="dxa"/>
            </w:tcMar>
          </w:tcPr>
          <w:p>
            <w:pPr>
              <w:spacing w:after="0" w:line="240" w:lineRule="auto"/>
            </w:pPr>
            <w:r>
              <w:rPr>
                <w:rFonts w:ascii="Calibri" w:hAnsi="Calibri"/>
                <w:b w:val="0"/>
                <w:i w:val="0"/>
                <w:color w:val="000000"/>
                <w:sz w:val="16"/>
              </w:rPr>
              <w:t>Optional short recovery period only if disclosed and legally approved</w:t>
            </w:r>
          </w:p>
        </w:tc>
        <w:tc>
          <w:tcPr>
            <w:tcW w:type="dxa" w:w="2200"/>
            <w:vAlign w:val="top"/>
            <w:tcMar>
              <w:top w:w="80" w:type="dxa"/>
              <w:start w:w="120" w:type="dxa"/>
              <w:bottom w:w="80" w:type="dxa"/>
              <w:end w:w="120" w:type="dxa"/>
            </w:tcMar>
          </w:tcPr>
          <w:p>
            <w:pPr>
              <w:spacing w:after="0" w:line="240" w:lineRule="auto"/>
            </w:pPr>
            <w:r>
              <w:rPr>
                <w:rFonts w:ascii="Calibri" w:hAnsi="Calibri"/>
                <w:b w:val="0"/>
                <w:i w:val="0"/>
                <w:color w:val="000000"/>
                <w:sz w:val="16"/>
              </w:rPr>
              <w:t>Scheduled execution date</w:t>
            </w:r>
          </w:p>
        </w:tc>
      </w:tr>
      <w:tr>
        <w:tc>
          <w:tcPr>
            <w:tcW w:type="dxa" w:w="1500"/>
            <w:vAlign w:val="top"/>
            <w:tcMar>
              <w:top w:w="80" w:type="dxa"/>
              <w:start w:w="120" w:type="dxa"/>
              <w:bottom w:w="80" w:type="dxa"/>
              <w:end w:w="120" w:type="dxa"/>
            </w:tcMar>
          </w:tcPr>
          <w:p>
            <w:pPr>
              <w:spacing w:after="0" w:line="240" w:lineRule="auto"/>
            </w:pPr>
            <w:r>
              <w:rPr>
                <w:rFonts w:ascii="Calibri" w:hAnsi="Calibri"/>
                <w:b w:val="0"/>
                <w:i w:val="0"/>
                <w:color w:val="000000"/>
                <w:sz w:val="16"/>
              </w:rPr>
              <w:t>Execution</w:t>
            </w:r>
          </w:p>
        </w:tc>
        <w:tc>
          <w:tcPr>
            <w:tcW w:type="dxa" w:w="5660"/>
            <w:vAlign w:val="top"/>
            <w:tcMar>
              <w:top w:w="80" w:type="dxa"/>
              <w:start w:w="120" w:type="dxa"/>
              <w:bottom w:w="80" w:type="dxa"/>
              <w:end w:w="120" w:type="dxa"/>
            </w:tcMar>
          </w:tcPr>
          <w:p>
            <w:pPr>
              <w:spacing w:after="0" w:line="240" w:lineRule="auto"/>
            </w:pPr>
            <w:r>
              <w:rPr>
                <w:rFonts w:ascii="Calibri" w:hAnsi="Calibri"/>
                <w:b w:val="0"/>
                <w:i w:val="0"/>
                <w:color w:val="000000"/>
                <w:sz w:val="16"/>
              </w:rPr>
              <w:t>Disable credentials; remove tokens/contact/private profile; anonymize eligible contributions; queue processor deletion</w:t>
            </w:r>
          </w:p>
        </w:tc>
        <w:tc>
          <w:tcPr>
            <w:tcW w:type="dxa" w:w="2200"/>
            <w:vAlign w:val="top"/>
            <w:tcMar>
              <w:top w:w="80" w:type="dxa"/>
              <w:start w:w="120" w:type="dxa"/>
              <w:bottom w:w="80" w:type="dxa"/>
              <w:end w:w="120" w:type="dxa"/>
            </w:tcMar>
          </w:tcPr>
          <w:p>
            <w:pPr>
              <w:spacing w:after="0" w:line="240" w:lineRule="auto"/>
            </w:pPr>
            <w:r>
              <w:rPr>
                <w:rFonts w:ascii="Calibri" w:hAnsi="Calibri"/>
                <w:b w:val="0"/>
                <w:i w:val="0"/>
                <w:color w:val="000000"/>
                <w:sz w:val="16"/>
              </w:rPr>
              <w:t>Deletion job results by system</w:t>
            </w:r>
          </w:p>
        </w:tc>
      </w:tr>
      <w:tr>
        <w:tc>
          <w:tcPr>
            <w:tcW w:type="dxa" w:w="1500"/>
            <w:vAlign w:val="top"/>
            <w:tcMar>
              <w:top w:w="80" w:type="dxa"/>
              <w:start w:w="120" w:type="dxa"/>
              <w:bottom w:w="80" w:type="dxa"/>
              <w:end w:w="120" w:type="dxa"/>
            </w:tcMar>
          </w:tcPr>
          <w:p>
            <w:pPr>
              <w:spacing w:after="0" w:line="240" w:lineRule="auto"/>
            </w:pPr>
            <w:r>
              <w:rPr>
                <w:rFonts w:ascii="Calibri" w:hAnsi="Calibri"/>
                <w:b w:val="0"/>
                <w:i w:val="0"/>
                <w:color w:val="000000"/>
                <w:sz w:val="16"/>
              </w:rPr>
              <w:t>Shared genealogy review</w:t>
            </w:r>
          </w:p>
        </w:tc>
        <w:tc>
          <w:tcPr>
            <w:tcW w:type="dxa" w:w="5660"/>
            <w:vAlign w:val="top"/>
            <w:tcMar>
              <w:top w:w="80" w:type="dxa"/>
              <w:start w:w="120" w:type="dxa"/>
              <w:bottom w:w="80" w:type="dxa"/>
              <w:end w:w="120" w:type="dxa"/>
            </w:tcMar>
          </w:tcPr>
          <w:p>
            <w:pPr>
              <w:spacing w:after="0" w:line="240" w:lineRule="auto"/>
            </w:pPr>
            <w:r>
              <w:rPr>
                <w:rFonts w:ascii="Calibri" w:hAnsi="Calibri"/>
                <w:b w:val="0"/>
                <w:i w:val="0"/>
                <w:color w:val="000000"/>
                <w:sz w:val="16"/>
              </w:rPr>
              <w:t>Assess independently sourced historical facts and other people's rights; minimize/restrict retained claims</w:t>
            </w:r>
          </w:p>
        </w:tc>
        <w:tc>
          <w:tcPr>
            <w:tcW w:type="dxa" w:w="2200"/>
            <w:vAlign w:val="top"/>
            <w:tcMar>
              <w:top w:w="80" w:type="dxa"/>
              <w:start w:w="120" w:type="dxa"/>
              <w:bottom w:w="80" w:type="dxa"/>
              <w:end w:w="120" w:type="dxa"/>
            </w:tcMar>
          </w:tcPr>
          <w:p>
            <w:pPr>
              <w:spacing w:after="0" w:line="240" w:lineRule="auto"/>
            </w:pPr>
            <w:r>
              <w:rPr>
                <w:rFonts w:ascii="Calibri" w:hAnsi="Calibri"/>
                <w:b w:val="0"/>
                <w:i w:val="0"/>
                <w:color w:val="000000"/>
                <w:sz w:val="16"/>
              </w:rPr>
              <w:t>DPO decision and source IDs</w:t>
            </w:r>
          </w:p>
        </w:tc>
      </w:tr>
      <w:tr>
        <w:tc>
          <w:tcPr>
            <w:tcW w:type="dxa" w:w="1500"/>
            <w:vAlign w:val="top"/>
            <w:tcMar>
              <w:top w:w="80" w:type="dxa"/>
              <w:start w:w="120" w:type="dxa"/>
              <w:bottom w:w="80" w:type="dxa"/>
              <w:end w:w="120" w:type="dxa"/>
            </w:tcMar>
          </w:tcPr>
          <w:p>
            <w:pPr>
              <w:spacing w:after="0" w:line="240" w:lineRule="auto"/>
            </w:pPr>
            <w:r>
              <w:rPr>
                <w:rFonts w:ascii="Calibri" w:hAnsi="Calibri"/>
                <w:b w:val="0"/>
                <w:i w:val="0"/>
                <w:color w:val="000000"/>
                <w:sz w:val="16"/>
              </w:rPr>
              <w:t>Backups</w:t>
            </w:r>
          </w:p>
        </w:tc>
        <w:tc>
          <w:tcPr>
            <w:tcW w:type="dxa" w:w="5660"/>
            <w:vAlign w:val="top"/>
            <w:tcMar>
              <w:top w:w="80" w:type="dxa"/>
              <w:start w:w="120" w:type="dxa"/>
              <w:bottom w:w="80" w:type="dxa"/>
              <w:end w:w="120" w:type="dxa"/>
            </w:tcMar>
          </w:tcPr>
          <w:p>
            <w:pPr>
              <w:spacing w:after="0" w:line="240" w:lineRule="auto"/>
            </w:pPr>
            <w:r>
              <w:rPr>
                <w:rFonts w:ascii="Calibri" w:hAnsi="Calibri"/>
                <w:b w:val="0"/>
                <w:i w:val="0"/>
                <w:color w:val="000000"/>
                <w:sz w:val="16"/>
              </w:rPr>
              <w:t>Data becomes unavailable to normal systems and expires through backup rotation unless legal hold applies</w:t>
            </w:r>
          </w:p>
        </w:tc>
        <w:tc>
          <w:tcPr>
            <w:tcW w:type="dxa" w:w="2200"/>
            <w:vAlign w:val="top"/>
            <w:tcMar>
              <w:top w:w="80" w:type="dxa"/>
              <w:start w:w="120" w:type="dxa"/>
              <w:bottom w:w="80" w:type="dxa"/>
              <w:end w:w="120" w:type="dxa"/>
            </w:tcMar>
          </w:tcPr>
          <w:p>
            <w:pPr>
              <w:spacing w:after="0" w:line="240" w:lineRule="auto"/>
            </w:pPr>
            <w:r>
              <w:rPr>
                <w:rFonts w:ascii="Calibri" w:hAnsi="Calibri"/>
                <w:b w:val="0"/>
                <w:i w:val="0"/>
                <w:color w:val="000000"/>
                <w:sz w:val="16"/>
              </w:rPr>
              <w:t>Backup cohort and expiry</w:t>
            </w:r>
          </w:p>
        </w:tc>
      </w:tr>
      <w:tr>
        <w:tc>
          <w:tcPr>
            <w:tcW w:type="dxa" w:w="1500"/>
            <w:vAlign w:val="top"/>
            <w:tcMar>
              <w:top w:w="80" w:type="dxa"/>
              <w:start w:w="120" w:type="dxa"/>
              <w:bottom w:w="80" w:type="dxa"/>
              <w:end w:w="120" w:type="dxa"/>
            </w:tcMar>
          </w:tcPr>
          <w:p>
            <w:pPr>
              <w:spacing w:after="0" w:line="240" w:lineRule="auto"/>
            </w:pPr>
            <w:r>
              <w:rPr>
                <w:rFonts w:ascii="Calibri" w:hAnsi="Calibri"/>
                <w:b w:val="0"/>
                <w:i w:val="0"/>
                <w:color w:val="000000"/>
                <w:sz w:val="16"/>
              </w:rPr>
              <w:t>Closure</w:t>
            </w:r>
          </w:p>
        </w:tc>
        <w:tc>
          <w:tcPr>
            <w:tcW w:type="dxa" w:w="5660"/>
            <w:vAlign w:val="top"/>
            <w:tcMar>
              <w:top w:w="80" w:type="dxa"/>
              <w:start w:w="120" w:type="dxa"/>
              <w:bottom w:w="80" w:type="dxa"/>
              <w:end w:w="120" w:type="dxa"/>
            </w:tcMar>
          </w:tcPr>
          <w:p>
            <w:pPr>
              <w:spacing w:after="0" w:line="240" w:lineRule="auto"/>
            </w:pPr>
            <w:r>
              <w:rPr>
                <w:rFonts w:ascii="Calibri" w:hAnsi="Calibri"/>
                <w:b w:val="0"/>
                <w:i w:val="0"/>
                <w:color w:val="000000"/>
                <w:sz w:val="16"/>
              </w:rPr>
              <w:t>Notify requester without exposing retained security evidence</w:t>
            </w:r>
          </w:p>
        </w:tc>
        <w:tc>
          <w:tcPr>
            <w:tcW w:type="dxa" w:w="2200"/>
            <w:vAlign w:val="top"/>
            <w:tcMar>
              <w:top w:w="80" w:type="dxa"/>
              <w:start w:w="120" w:type="dxa"/>
              <w:bottom w:w="80" w:type="dxa"/>
              <w:end w:w="120" w:type="dxa"/>
            </w:tcMar>
          </w:tcPr>
          <w:p>
            <w:pPr>
              <w:spacing w:after="0" w:line="240" w:lineRule="auto"/>
            </w:pPr>
            <w:r>
              <w:rPr>
                <w:rFonts w:ascii="Calibri" w:hAnsi="Calibri"/>
                <w:b w:val="0"/>
                <w:i w:val="0"/>
                <w:color w:val="000000"/>
                <w:sz w:val="16"/>
              </w:rPr>
              <w:t>Closure timestamp and appeal route</w:t>
            </w:r>
          </w:p>
        </w:tc>
      </w:tr>
    </w:tbl>
    <w:p>
      <w:pPr>
        <w:spacing w:after="0"/>
      </w:pPr>
    </w:p>
    <w:p>
      <w:pPr>
        <w:pStyle w:val="Heading1"/>
      </w:pPr>
      <w:r>
        <w:t>11. Retention and deletion schedule</w:t>
      </w:r>
    </w:p>
    <w:p>
      <w:pPr>
        <w:spacing w:after="120" w:line="264" w:lineRule="auto"/>
      </w:pPr>
      <w:r>
        <w:rPr>
          <w:rFonts w:ascii="Calibri" w:hAnsi="Calibri"/>
          <w:b w:val="0"/>
          <w:i w:val="0"/>
          <w:color w:val="000000"/>
          <w:sz w:val="22"/>
        </w:rPr>
        <w:t>The periods below are conservative product-policy defaults, not confirmed statutory minima. Counsel and the DPO must approve or revise them before launch. “After closure” means after the relevant account, case, union, processor relationship or legal hold ends.</w:t>
      </w:r>
    </w:p>
    <w:tbl>
      <w:tblPr>
        <w:tblStyle w:val="TableGrid"/>
        <w:tblW w:type="dxa" w:w="9360"/>
        <w:tblLayout w:type="fixed"/>
        <w:tblLook w:firstColumn="1" w:firstRow="1" w:lastColumn="0" w:lastRow="0" w:noHBand="0" w:noVBand="1" w:val="04A0"/>
        <w:jc w:val="left"/>
        <w:tblInd w:w="120" w:type="dxa"/>
        <w:tblInd w:w="120" w:type="dxa"/>
      </w:tblPr>
      <w:tblGrid>
        <w:gridCol w:w="1900"/>
        <w:gridCol w:w="1700"/>
        <w:gridCol w:w="2500"/>
        <w:gridCol w:w="1600"/>
        <w:gridCol w:w="1660"/>
      </w:tblGrid>
      <w:tr>
        <w:trPr>
          <w:tblHeader w:val="true"/>
        </w:trPr>
        <w:tc>
          <w:tcPr>
            <w:tcW w:type="dxa" w:w="1900"/>
            <w:vAlign w:val="top"/>
            <w:tcMar>
              <w:top w:w="80" w:type="dxa"/>
              <w:start w:w="120" w:type="dxa"/>
              <w:bottom w:w="80" w:type="dxa"/>
              <w:end w:w="120" w:type="dxa"/>
            </w:tcMar>
            <w:shd w:fill="E8EEF5"/>
          </w:tcPr>
          <w:p>
            <w:pPr>
              <w:spacing w:after="0"/>
            </w:pPr>
            <w:r>
              <w:rPr>
                <w:rFonts w:ascii="Calibri" w:hAnsi="Calibri"/>
                <w:b/>
                <w:i w:val="0"/>
                <w:color w:val="17365D"/>
                <w:sz w:val="14"/>
              </w:rPr>
              <w:t>Data category</w:t>
            </w:r>
          </w:p>
        </w:tc>
        <w:tc>
          <w:tcPr>
            <w:tcW w:type="dxa" w:w="1700"/>
            <w:vAlign w:val="top"/>
            <w:tcMar>
              <w:top w:w="80" w:type="dxa"/>
              <w:start w:w="120" w:type="dxa"/>
              <w:bottom w:w="80" w:type="dxa"/>
              <w:end w:w="120" w:type="dxa"/>
            </w:tcMar>
            <w:shd w:fill="E8EEF5"/>
          </w:tcPr>
          <w:p>
            <w:pPr>
              <w:spacing w:after="0"/>
            </w:pPr>
            <w:r>
              <w:rPr>
                <w:rFonts w:ascii="Calibri" w:hAnsi="Calibri"/>
                <w:b/>
                <w:i w:val="0"/>
                <w:color w:val="17365D"/>
                <w:sz w:val="14"/>
              </w:rPr>
              <w:t>Active period</w:t>
            </w:r>
          </w:p>
        </w:tc>
        <w:tc>
          <w:tcPr>
            <w:tcW w:type="dxa" w:w="2500"/>
            <w:vAlign w:val="top"/>
            <w:tcMar>
              <w:top w:w="80" w:type="dxa"/>
              <w:start w:w="120" w:type="dxa"/>
              <w:bottom w:w="80" w:type="dxa"/>
              <w:end w:w="120" w:type="dxa"/>
            </w:tcMar>
            <w:shd w:fill="E8EEF5"/>
          </w:tcPr>
          <w:p>
            <w:pPr>
              <w:spacing w:after="0"/>
            </w:pPr>
            <w:r>
              <w:rPr>
                <w:rFonts w:ascii="Calibri" w:hAnsi="Calibri"/>
                <w:b/>
                <w:i w:val="0"/>
                <w:color w:val="17365D"/>
                <w:sz w:val="14"/>
              </w:rPr>
              <w:t>Deletion trigger / period</w:t>
            </w:r>
          </w:p>
        </w:tc>
        <w:tc>
          <w:tcPr>
            <w:tcW w:type="dxa" w:w="1600"/>
            <w:vAlign w:val="top"/>
            <w:tcMar>
              <w:top w:w="80" w:type="dxa"/>
              <w:start w:w="120" w:type="dxa"/>
              <w:bottom w:w="80" w:type="dxa"/>
              <w:end w:w="120" w:type="dxa"/>
            </w:tcMar>
            <w:shd w:fill="E8EEF5"/>
          </w:tcPr>
          <w:p>
            <w:pPr>
              <w:spacing w:after="0"/>
            </w:pPr>
            <w:r>
              <w:rPr>
                <w:rFonts w:ascii="Calibri" w:hAnsi="Calibri"/>
                <w:b/>
                <w:i w:val="0"/>
                <w:color w:val="17365D"/>
                <w:sz w:val="14"/>
              </w:rPr>
              <w:t>Purpose</w:t>
            </w:r>
          </w:p>
        </w:tc>
        <w:tc>
          <w:tcPr>
            <w:tcW w:type="dxa" w:w="1660"/>
            <w:vAlign w:val="top"/>
            <w:tcMar>
              <w:top w:w="80" w:type="dxa"/>
              <w:start w:w="120" w:type="dxa"/>
              <w:bottom w:w="80" w:type="dxa"/>
              <w:end w:w="120" w:type="dxa"/>
            </w:tcMar>
            <w:shd w:fill="E8EEF5"/>
          </w:tcPr>
          <w:p>
            <w:pPr>
              <w:spacing w:after="0"/>
            </w:pPr>
            <w:r>
              <w:rPr>
                <w:rFonts w:ascii="Calibri" w:hAnsi="Calibri"/>
                <w:b/>
                <w:i w:val="0"/>
                <w:color w:val="17365D"/>
                <w:sz w:val="14"/>
              </w:rPr>
              <w:t>Special rule</w:t>
            </w:r>
          </w:p>
        </w:tc>
      </w:tr>
      <w:tr>
        <w:tc>
          <w:tcPr>
            <w:tcW w:type="dxa" w:w="1900"/>
            <w:vAlign w:val="top"/>
            <w:tcMar>
              <w:top w:w="80" w:type="dxa"/>
              <w:start w:w="120" w:type="dxa"/>
              <w:bottom w:w="80" w:type="dxa"/>
              <w:end w:w="120" w:type="dxa"/>
            </w:tcMar>
          </w:tcPr>
          <w:p>
            <w:pPr>
              <w:spacing w:after="0" w:line="240" w:lineRule="auto"/>
            </w:pPr>
            <w:r>
              <w:rPr>
                <w:rFonts w:ascii="Calibri" w:hAnsi="Calibri"/>
                <w:b w:val="0"/>
                <w:i w:val="0"/>
                <w:color w:val="000000"/>
                <w:sz w:val="14"/>
              </w:rPr>
              <w:t>Account credentials and active profile</w:t>
            </w:r>
          </w:p>
        </w:tc>
        <w:tc>
          <w:tcPr>
            <w:tcW w:type="dxa" w:w="1700"/>
            <w:vAlign w:val="top"/>
            <w:tcMar>
              <w:top w:w="80" w:type="dxa"/>
              <w:start w:w="120" w:type="dxa"/>
              <w:bottom w:w="80" w:type="dxa"/>
              <w:end w:w="120" w:type="dxa"/>
            </w:tcMar>
          </w:tcPr>
          <w:p>
            <w:pPr>
              <w:spacing w:after="0" w:line="240" w:lineRule="auto"/>
            </w:pPr>
            <w:r>
              <w:rPr>
                <w:rFonts w:ascii="Calibri" w:hAnsi="Calibri"/>
                <w:b w:val="0"/>
                <w:i w:val="0"/>
                <w:color w:val="000000"/>
                <w:sz w:val="14"/>
              </w:rPr>
              <w:t>Life of account</w:t>
            </w:r>
          </w:p>
        </w:tc>
        <w:tc>
          <w:tcPr>
            <w:tcW w:type="dxa" w:w="2500"/>
            <w:vAlign w:val="top"/>
            <w:tcMar>
              <w:top w:w="80" w:type="dxa"/>
              <w:start w:w="120" w:type="dxa"/>
              <w:bottom w:w="80" w:type="dxa"/>
              <w:end w:w="120" w:type="dxa"/>
            </w:tcMar>
          </w:tcPr>
          <w:p>
            <w:pPr>
              <w:spacing w:after="0" w:line="240" w:lineRule="auto"/>
            </w:pPr>
            <w:r>
              <w:rPr>
                <w:rFonts w:ascii="Calibri" w:hAnsi="Calibri"/>
                <w:b w:val="0"/>
                <w:i w:val="0"/>
                <w:color w:val="000000"/>
                <w:sz w:val="14"/>
              </w:rPr>
              <w:t>Delete/anonymize within 30 days after verified deletion request, subject to approved exceptions</w:t>
            </w:r>
          </w:p>
        </w:tc>
        <w:tc>
          <w:tcPr>
            <w:tcW w:type="dxa" w:w="1600"/>
            <w:vAlign w:val="top"/>
            <w:tcMar>
              <w:top w:w="80" w:type="dxa"/>
              <w:start w:w="120" w:type="dxa"/>
              <w:bottom w:w="80" w:type="dxa"/>
              <w:end w:w="120" w:type="dxa"/>
            </w:tcMar>
          </w:tcPr>
          <w:p>
            <w:pPr>
              <w:spacing w:after="0" w:line="240" w:lineRule="auto"/>
            </w:pPr>
            <w:r>
              <w:rPr>
                <w:rFonts w:ascii="Calibri" w:hAnsi="Calibri"/>
                <w:b w:val="0"/>
                <w:i w:val="0"/>
                <w:color w:val="000000"/>
                <w:sz w:val="14"/>
              </w:rPr>
              <w:t>Account/security service</w:t>
            </w:r>
          </w:p>
        </w:tc>
        <w:tc>
          <w:tcPr>
            <w:tcW w:type="dxa" w:w="1660"/>
            <w:vAlign w:val="top"/>
            <w:tcMar>
              <w:top w:w="80" w:type="dxa"/>
              <w:start w:w="120" w:type="dxa"/>
              <w:bottom w:w="80" w:type="dxa"/>
              <w:end w:w="120" w:type="dxa"/>
            </w:tcMar>
          </w:tcPr>
          <w:p>
            <w:pPr>
              <w:spacing w:after="0" w:line="240" w:lineRule="auto"/>
            </w:pPr>
            <w:r>
              <w:rPr>
                <w:rFonts w:ascii="Calibri" w:hAnsi="Calibri"/>
                <w:b w:val="0"/>
                <w:i w:val="0"/>
                <w:color w:val="000000"/>
                <w:sz w:val="14"/>
              </w:rPr>
              <w:t>Credentials removed immediately from active use</w:t>
            </w:r>
          </w:p>
        </w:tc>
      </w:tr>
      <w:tr>
        <w:tc>
          <w:tcPr>
            <w:tcW w:type="dxa" w:w="1900"/>
            <w:vAlign w:val="top"/>
            <w:tcMar>
              <w:top w:w="80" w:type="dxa"/>
              <w:start w:w="120" w:type="dxa"/>
              <w:bottom w:w="80" w:type="dxa"/>
              <w:end w:w="120" w:type="dxa"/>
            </w:tcMar>
          </w:tcPr>
          <w:p>
            <w:pPr>
              <w:spacing w:after="0" w:line="240" w:lineRule="auto"/>
            </w:pPr>
            <w:r>
              <w:rPr>
                <w:rFonts w:ascii="Calibri" w:hAnsi="Calibri"/>
                <w:b w:val="0"/>
                <w:i w:val="0"/>
                <w:color w:val="000000"/>
                <w:sz w:val="14"/>
              </w:rPr>
              <w:t>Phone/email verification tokens</w:t>
            </w:r>
          </w:p>
        </w:tc>
        <w:tc>
          <w:tcPr>
            <w:tcW w:type="dxa" w:w="1700"/>
            <w:vAlign w:val="top"/>
            <w:tcMar>
              <w:top w:w="80" w:type="dxa"/>
              <w:start w:w="120" w:type="dxa"/>
              <w:bottom w:w="80" w:type="dxa"/>
              <w:end w:w="120" w:type="dxa"/>
            </w:tcMar>
          </w:tcPr>
          <w:p>
            <w:pPr>
              <w:spacing w:after="0" w:line="240" w:lineRule="auto"/>
            </w:pPr>
            <w:r>
              <w:rPr>
                <w:rFonts w:ascii="Calibri" w:hAnsi="Calibri"/>
                <w:b w:val="0"/>
                <w:i w:val="0"/>
                <w:color w:val="000000"/>
                <w:sz w:val="14"/>
              </w:rPr>
              <w:t>Minutes to 24 hours</w:t>
            </w:r>
          </w:p>
        </w:tc>
        <w:tc>
          <w:tcPr>
            <w:tcW w:type="dxa" w:w="2500"/>
            <w:vAlign w:val="top"/>
            <w:tcMar>
              <w:top w:w="80" w:type="dxa"/>
              <w:start w:w="120" w:type="dxa"/>
              <w:bottom w:w="80" w:type="dxa"/>
              <w:end w:w="120" w:type="dxa"/>
            </w:tcMar>
          </w:tcPr>
          <w:p>
            <w:pPr>
              <w:spacing w:after="0" w:line="240" w:lineRule="auto"/>
            </w:pPr>
            <w:r>
              <w:rPr>
                <w:rFonts w:ascii="Calibri" w:hAnsi="Calibri"/>
                <w:b w:val="0"/>
                <w:i w:val="0"/>
                <w:color w:val="000000"/>
                <w:sz w:val="14"/>
              </w:rPr>
              <w:t>Automatic expiry/deletion</w:t>
            </w:r>
          </w:p>
        </w:tc>
        <w:tc>
          <w:tcPr>
            <w:tcW w:type="dxa" w:w="1600"/>
            <w:vAlign w:val="top"/>
            <w:tcMar>
              <w:top w:w="80" w:type="dxa"/>
              <w:start w:w="120" w:type="dxa"/>
              <w:bottom w:w="80" w:type="dxa"/>
              <w:end w:w="120" w:type="dxa"/>
            </w:tcMar>
          </w:tcPr>
          <w:p>
            <w:pPr>
              <w:spacing w:after="0" w:line="240" w:lineRule="auto"/>
            </w:pPr>
            <w:r>
              <w:rPr>
                <w:rFonts w:ascii="Calibri" w:hAnsi="Calibri"/>
                <w:b w:val="0"/>
                <w:i w:val="0"/>
                <w:color w:val="000000"/>
                <w:sz w:val="14"/>
              </w:rPr>
              <w:t>Authentication</w:t>
            </w:r>
          </w:p>
        </w:tc>
        <w:tc>
          <w:tcPr>
            <w:tcW w:type="dxa" w:w="1660"/>
            <w:vAlign w:val="top"/>
            <w:tcMar>
              <w:top w:w="80" w:type="dxa"/>
              <w:start w:w="120" w:type="dxa"/>
              <w:bottom w:w="80" w:type="dxa"/>
              <w:end w:w="120" w:type="dxa"/>
            </w:tcMar>
          </w:tcPr>
          <w:p>
            <w:pPr>
              <w:spacing w:after="0" w:line="240" w:lineRule="auto"/>
            </w:pPr>
            <w:r>
              <w:rPr>
                <w:rFonts w:ascii="Calibri" w:hAnsi="Calibri"/>
                <w:b w:val="0"/>
                <w:i w:val="0"/>
                <w:color w:val="000000"/>
                <w:sz w:val="14"/>
              </w:rPr>
              <w:t>Never store OTP plaintext in logs</w:t>
            </w:r>
          </w:p>
        </w:tc>
      </w:tr>
      <w:tr>
        <w:tc>
          <w:tcPr>
            <w:tcW w:type="dxa" w:w="1900"/>
            <w:vAlign w:val="top"/>
            <w:tcMar>
              <w:top w:w="80" w:type="dxa"/>
              <w:start w:w="120" w:type="dxa"/>
              <w:bottom w:w="80" w:type="dxa"/>
              <w:end w:w="120" w:type="dxa"/>
            </w:tcMar>
          </w:tcPr>
          <w:p>
            <w:pPr>
              <w:spacing w:after="0" w:line="240" w:lineRule="auto"/>
            </w:pPr>
            <w:r>
              <w:rPr>
                <w:rFonts w:ascii="Calibri" w:hAnsi="Calibri"/>
                <w:b w:val="0"/>
                <w:i w:val="0"/>
                <w:color w:val="000000"/>
                <w:sz w:val="14"/>
              </w:rPr>
              <w:t>Authentication/session logs</w:t>
            </w:r>
          </w:p>
        </w:tc>
        <w:tc>
          <w:tcPr>
            <w:tcW w:type="dxa" w:w="1700"/>
            <w:vAlign w:val="top"/>
            <w:tcMar>
              <w:top w:w="80" w:type="dxa"/>
              <w:start w:w="120" w:type="dxa"/>
              <w:bottom w:w="80" w:type="dxa"/>
              <w:end w:w="120" w:type="dxa"/>
            </w:tcMar>
          </w:tcPr>
          <w:p>
            <w:pPr>
              <w:spacing w:after="0" w:line="240" w:lineRule="auto"/>
            </w:pPr>
            <w:r>
              <w:rPr>
                <w:rFonts w:ascii="Calibri" w:hAnsi="Calibri"/>
                <w:b w:val="0"/>
                <w:i w:val="0"/>
                <w:color w:val="000000"/>
                <w:sz w:val="14"/>
              </w:rPr>
              <w:t>12 months</w:t>
            </w:r>
          </w:p>
        </w:tc>
        <w:tc>
          <w:tcPr>
            <w:tcW w:type="dxa" w:w="2500"/>
            <w:vAlign w:val="top"/>
            <w:tcMar>
              <w:top w:w="80" w:type="dxa"/>
              <w:start w:w="120" w:type="dxa"/>
              <w:bottom w:w="80" w:type="dxa"/>
              <w:end w:w="120" w:type="dxa"/>
            </w:tcMar>
          </w:tcPr>
          <w:p>
            <w:pPr>
              <w:spacing w:after="0" w:line="240" w:lineRule="auto"/>
            </w:pPr>
            <w:r>
              <w:rPr>
                <w:rFonts w:ascii="Calibri" w:hAnsi="Calibri"/>
                <w:b w:val="0"/>
                <w:i w:val="0"/>
                <w:color w:val="000000"/>
                <w:sz w:val="14"/>
              </w:rPr>
              <w:t>Rolling deletion</w:t>
            </w:r>
          </w:p>
        </w:tc>
        <w:tc>
          <w:tcPr>
            <w:tcW w:type="dxa" w:w="1600"/>
            <w:vAlign w:val="top"/>
            <w:tcMar>
              <w:top w:w="80" w:type="dxa"/>
              <w:start w:w="120" w:type="dxa"/>
              <w:bottom w:w="80" w:type="dxa"/>
              <w:end w:w="120" w:type="dxa"/>
            </w:tcMar>
          </w:tcPr>
          <w:p>
            <w:pPr>
              <w:spacing w:after="0" w:line="240" w:lineRule="auto"/>
            </w:pPr>
            <w:r>
              <w:rPr>
                <w:rFonts w:ascii="Calibri" w:hAnsi="Calibri"/>
                <w:b w:val="0"/>
                <w:i w:val="0"/>
                <w:color w:val="000000"/>
                <w:sz w:val="14"/>
              </w:rPr>
              <w:t>Security/fraud prevention</w:t>
            </w:r>
          </w:p>
        </w:tc>
        <w:tc>
          <w:tcPr>
            <w:tcW w:type="dxa" w:w="1660"/>
            <w:vAlign w:val="top"/>
            <w:tcMar>
              <w:top w:w="80" w:type="dxa"/>
              <w:start w:w="120" w:type="dxa"/>
              <w:bottom w:w="80" w:type="dxa"/>
              <w:end w:w="120" w:type="dxa"/>
            </w:tcMar>
          </w:tcPr>
          <w:p>
            <w:pPr>
              <w:spacing w:after="0" w:line="240" w:lineRule="auto"/>
            </w:pPr>
            <w:r>
              <w:rPr>
                <w:rFonts w:ascii="Calibri" w:hAnsi="Calibri"/>
                <w:b w:val="0"/>
                <w:i w:val="0"/>
                <w:color w:val="000000"/>
                <w:sz w:val="14"/>
              </w:rPr>
              <w:t>Extend only under incident/legal hold</w:t>
            </w:r>
          </w:p>
        </w:tc>
      </w:tr>
      <w:tr>
        <w:tc>
          <w:tcPr>
            <w:tcW w:type="dxa" w:w="1900"/>
            <w:vAlign w:val="top"/>
            <w:tcMar>
              <w:top w:w="80" w:type="dxa"/>
              <w:start w:w="120" w:type="dxa"/>
              <w:bottom w:w="80" w:type="dxa"/>
              <w:end w:w="120" w:type="dxa"/>
            </w:tcMar>
          </w:tcPr>
          <w:p>
            <w:pPr>
              <w:spacing w:after="0" w:line="240" w:lineRule="auto"/>
            </w:pPr>
            <w:r>
              <w:rPr>
                <w:rFonts w:ascii="Calibri" w:hAnsi="Calibri"/>
                <w:b w:val="0"/>
                <w:i w:val="0"/>
                <w:color w:val="000000"/>
                <w:sz w:val="14"/>
              </w:rPr>
              <w:t>Privilege and approval audit logs</w:t>
            </w:r>
          </w:p>
        </w:tc>
        <w:tc>
          <w:tcPr>
            <w:tcW w:type="dxa" w:w="1700"/>
            <w:vAlign w:val="top"/>
            <w:tcMar>
              <w:top w:w="80" w:type="dxa"/>
              <w:start w:w="120" w:type="dxa"/>
              <w:bottom w:w="80" w:type="dxa"/>
              <w:end w:w="120" w:type="dxa"/>
            </w:tcMar>
          </w:tcPr>
          <w:p>
            <w:pPr>
              <w:spacing w:after="0" w:line="240" w:lineRule="auto"/>
            </w:pPr>
            <w:r>
              <w:rPr>
                <w:rFonts w:ascii="Calibri" w:hAnsi="Calibri"/>
                <w:b w:val="0"/>
                <w:i w:val="0"/>
                <w:color w:val="000000"/>
                <w:sz w:val="14"/>
              </w:rPr>
              <w:t>7 years</w:t>
            </w:r>
          </w:p>
        </w:tc>
        <w:tc>
          <w:tcPr>
            <w:tcW w:type="dxa" w:w="2500"/>
            <w:vAlign w:val="top"/>
            <w:tcMar>
              <w:top w:w="80" w:type="dxa"/>
              <w:start w:w="120" w:type="dxa"/>
              <w:bottom w:w="80" w:type="dxa"/>
              <w:end w:w="120" w:type="dxa"/>
            </w:tcMar>
          </w:tcPr>
          <w:p>
            <w:pPr>
              <w:spacing w:after="0" w:line="240" w:lineRule="auto"/>
            </w:pPr>
            <w:r>
              <w:rPr>
                <w:rFonts w:ascii="Calibri" w:hAnsi="Calibri"/>
                <w:b w:val="0"/>
                <w:i w:val="0"/>
                <w:color w:val="000000"/>
                <w:sz w:val="14"/>
              </w:rPr>
              <w:t>Delete/anonymize after period and holds</w:t>
            </w:r>
          </w:p>
        </w:tc>
        <w:tc>
          <w:tcPr>
            <w:tcW w:type="dxa" w:w="1600"/>
            <w:vAlign w:val="top"/>
            <w:tcMar>
              <w:top w:w="80" w:type="dxa"/>
              <w:start w:w="120" w:type="dxa"/>
              <w:bottom w:w="80" w:type="dxa"/>
              <w:end w:w="120" w:type="dxa"/>
            </w:tcMar>
          </w:tcPr>
          <w:p>
            <w:pPr>
              <w:spacing w:after="0" w:line="240" w:lineRule="auto"/>
            </w:pPr>
            <w:r>
              <w:rPr>
                <w:rFonts w:ascii="Calibri" w:hAnsi="Calibri"/>
                <w:b w:val="0"/>
                <w:i w:val="0"/>
                <w:color w:val="000000"/>
                <w:sz w:val="14"/>
              </w:rPr>
              <w:t>Accountability and disputes</w:t>
            </w:r>
          </w:p>
        </w:tc>
        <w:tc>
          <w:tcPr>
            <w:tcW w:type="dxa" w:w="1660"/>
            <w:vAlign w:val="top"/>
            <w:tcMar>
              <w:top w:w="80" w:type="dxa"/>
              <w:start w:w="120" w:type="dxa"/>
              <w:bottom w:w="80" w:type="dxa"/>
              <w:end w:w="120" w:type="dxa"/>
            </w:tcMar>
          </w:tcPr>
          <w:p>
            <w:pPr>
              <w:spacing w:after="0" w:line="240" w:lineRule="auto"/>
            </w:pPr>
            <w:r>
              <w:rPr>
                <w:rFonts w:ascii="Calibri" w:hAnsi="Calibri"/>
                <w:b w:val="0"/>
                <w:i w:val="0"/>
                <w:color w:val="000000"/>
                <w:sz w:val="14"/>
              </w:rPr>
              <w:t>Immutable, access-restricted</w:t>
            </w:r>
          </w:p>
        </w:tc>
      </w:tr>
      <w:tr>
        <w:tc>
          <w:tcPr>
            <w:tcW w:type="dxa" w:w="1900"/>
            <w:vAlign w:val="top"/>
            <w:tcMar>
              <w:top w:w="80" w:type="dxa"/>
              <w:start w:w="120" w:type="dxa"/>
              <w:bottom w:w="80" w:type="dxa"/>
              <w:end w:w="120" w:type="dxa"/>
            </w:tcMar>
          </w:tcPr>
          <w:p>
            <w:pPr>
              <w:spacing w:after="0" w:line="240" w:lineRule="auto"/>
            </w:pPr>
            <w:r>
              <w:rPr>
                <w:rFonts w:ascii="Calibri" w:hAnsi="Calibri"/>
                <w:b w:val="0"/>
                <w:i w:val="0"/>
                <w:color w:val="000000"/>
                <w:sz w:val="14"/>
              </w:rPr>
              <w:t>Genealogy records - living person</w:t>
            </w:r>
          </w:p>
        </w:tc>
        <w:tc>
          <w:tcPr>
            <w:tcW w:type="dxa" w:w="1700"/>
            <w:vAlign w:val="top"/>
            <w:tcMar>
              <w:top w:w="80" w:type="dxa"/>
              <w:start w:w="120" w:type="dxa"/>
              <w:bottom w:w="80" w:type="dxa"/>
              <w:end w:w="120" w:type="dxa"/>
            </w:tcMar>
          </w:tcPr>
          <w:p>
            <w:pPr>
              <w:spacing w:after="0" w:line="240" w:lineRule="auto"/>
            </w:pPr>
            <w:r>
              <w:rPr>
                <w:rFonts w:ascii="Calibri" w:hAnsi="Calibri"/>
                <w:b w:val="0"/>
                <w:i w:val="0"/>
                <w:color w:val="000000"/>
                <w:sz w:val="14"/>
              </w:rPr>
              <w:t>Until withdrawal/deletion review or demonstrated continuing approved purpose</w:t>
            </w:r>
          </w:p>
        </w:tc>
        <w:tc>
          <w:tcPr>
            <w:tcW w:type="dxa" w:w="2500"/>
            <w:vAlign w:val="top"/>
            <w:tcMar>
              <w:top w:w="80" w:type="dxa"/>
              <w:start w:w="120" w:type="dxa"/>
              <w:bottom w:w="80" w:type="dxa"/>
              <w:end w:w="120" w:type="dxa"/>
            </w:tcMar>
          </w:tcPr>
          <w:p>
            <w:pPr>
              <w:spacing w:after="0" w:line="240" w:lineRule="auto"/>
            </w:pPr>
            <w:r>
              <w:rPr>
                <w:rFonts w:ascii="Calibri" w:hAnsi="Calibri"/>
                <w:b w:val="0"/>
                <w:i w:val="0"/>
                <w:color w:val="000000"/>
                <w:sz w:val="14"/>
              </w:rPr>
              <w:t>Delete, anonymize or restrict after rights assessment</w:t>
            </w:r>
          </w:p>
        </w:tc>
        <w:tc>
          <w:tcPr>
            <w:tcW w:type="dxa" w:w="1600"/>
            <w:vAlign w:val="top"/>
            <w:tcMar>
              <w:top w:w="80" w:type="dxa"/>
              <w:start w:w="120" w:type="dxa"/>
              <w:bottom w:w="80" w:type="dxa"/>
              <w:end w:w="120" w:type="dxa"/>
            </w:tcMar>
          </w:tcPr>
          <w:p>
            <w:pPr>
              <w:spacing w:after="0" w:line="240" w:lineRule="auto"/>
            </w:pPr>
            <w:r>
              <w:rPr>
                <w:rFonts w:ascii="Calibri" w:hAnsi="Calibri"/>
                <w:b w:val="0"/>
                <w:i w:val="0"/>
                <w:color w:val="000000"/>
                <w:sz w:val="14"/>
              </w:rPr>
              <w:t>Genealogy service</w:t>
            </w:r>
          </w:p>
        </w:tc>
        <w:tc>
          <w:tcPr>
            <w:tcW w:type="dxa" w:w="1660"/>
            <w:vAlign w:val="top"/>
            <w:tcMar>
              <w:top w:w="80" w:type="dxa"/>
              <w:start w:w="120" w:type="dxa"/>
              <w:bottom w:w="80" w:type="dxa"/>
              <w:end w:w="120" w:type="dxa"/>
            </w:tcMar>
          </w:tcPr>
          <w:p>
            <w:pPr>
              <w:spacing w:after="0" w:line="240" w:lineRule="auto"/>
            </w:pPr>
            <w:r>
              <w:rPr>
                <w:rFonts w:ascii="Calibri" w:hAnsi="Calibri"/>
                <w:b w:val="0"/>
                <w:i w:val="0"/>
                <w:color w:val="000000"/>
                <w:sz w:val="14"/>
              </w:rPr>
              <w:t>Reassess at least every 3 years</w:t>
            </w:r>
          </w:p>
        </w:tc>
      </w:tr>
      <w:tr>
        <w:tc>
          <w:tcPr>
            <w:tcW w:type="dxa" w:w="1900"/>
            <w:vAlign w:val="top"/>
            <w:tcMar>
              <w:top w:w="80" w:type="dxa"/>
              <w:start w:w="120" w:type="dxa"/>
              <w:bottom w:w="80" w:type="dxa"/>
              <w:end w:w="120" w:type="dxa"/>
            </w:tcMar>
          </w:tcPr>
          <w:p>
            <w:pPr>
              <w:spacing w:after="0" w:line="240" w:lineRule="auto"/>
            </w:pPr>
            <w:r>
              <w:rPr>
                <w:rFonts w:ascii="Calibri" w:hAnsi="Calibri"/>
                <w:b w:val="0"/>
                <w:i w:val="0"/>
                <w:color w:val="000000"/>
                <w:sz w:val="14"/>
              </w:rPr>
              <w:t>Genealogy records - deceased/historical</w:t>
            </w:r>
          </w:p>
        </w:tc>
        <w:tc>
          <w:tcPr>
            <w:tcW w:type="dxa" w:w="1700"/>
            <w:vAlign w:val="top"/>
            <w:tcMar>
              <w:top w:w="80" w:type="dxa"/>
              <w:start w:w="120" w:type="dxa"/>
              <w:bottom w:w="80" w:type="dxa"/>
              <w:end w:w="120" w:type="dxa"/>
            </w:tcMar>
          </w:tcPr>
          <w:p>
            <w:pPr>
              <w:spacing w:after="0" w:line="240" w:lineRule="auto"/>
            </w:pPr>
            <w:r>
              <w:rPr>
                <w:rFonts w:ascii="Calibri" w:hAnsi="Calibri"/>
                <w:b w:val="0"/>
                <w:i w:val="0"/>
                <w:color w:val="000000"/>
                <w:sz w:val="14"/>
              </w:rPr>
              <w:t>Indefinite only when archival/community purpose is approved</w:t>
            </w:r>
          </w:p>
        </w:tc>
        <w:tc>
          <w:tcPr>
            <w:tcW w:type="dxa" w:w="2500"/>
            <w:vAlign w:val="top"/>
            <w:tcMar>
              <w:top w:w="80" w:type="dxa"/>
              <w:start w:w="120" w:type="dxa"/>
              <w:bottom w:w="80" w:type="dxa"/>
              <w:end w:w="120" w:type="dxa"/>
            </w:tcMar>
          </w:tcPr>
          <w:p>
            <w:pPr>
              <w:spacing w:after="0" w:line="240" w:lineRule="auto"/>
            </w:pPr>
            <w:r>
              <w:rPr>
                <w:rFonts w:ascii="Calibri" w:hAnsi="Calibri"/>
                <w:b w:val="0"/>
                <w:i w:val="0"/>
                <w:color w:val="000000"/>
                <w:sz w:val="14"/>
              </w:rPr>
              <w:t>Periodic necessity/source/visibility review</w:t>
            </w:r>
          </w:p>
        </w:tc>
        <w:tc>
          <w:tcPr>
            <w:tcW w:type="dxa" w:w="1600"/>
            <w:vAlign w:val="top"/>
            <w:tcMar>
              <w:top w:w="80" w:type="dxa"/>
              <w:start w:w="120" w:type="dxa"/>
              <w:bottom w:w="80" w:type="dxa"/>
              <w:end w:w="120" w:type="dxa"/>
            </w:tcMar>
          </w:tcPr>
          <w:p>
            <w:pPr>
              <w:spacing w:after="0" w:line="240" w:lineRule="auto"/>
            </w:pPr>
            <w:r>
              <w:rPr>
                <w:rFonts w:ascii="Calibri" w:hAnsi="Calibri"/>
                <w:b w:val="0"/>
                <w:i w:val="0"/>
                <w:color w:val="000000"/>
                <w:sz w:val="14"/>
              </w:rPr>
              <w:t>Historical genealogy</w:t>
            </w:r>
          </w:p>
        </w:tc>
        <w:tc>
          <w:tcPr>
            <w:tcW w:type="dxa" w:w="1660"/>
            <w:vAlign w:val="top"/>
            <w:tcMar>
              <w:top w:w="80" w:type="dxa"/>
              <w:start w:w="120" w:type="dxa"/>
              <w:bottom w:w="80" w:type="dxa"/>
              <w:end w:w="120" w:type="dxa"/>
            </w:tcMar>
          </w:tcPr>
          <w:p>
            <w:pPr>
              <w:spacing w:after="0" w:line="240" w:lineRule="auto"/>
            </w:pPr>
            <w:r>
              <w:rPr>
                <w:rFonts w:ascii="Calibri" w:hAnsi="Calibri"/>
                <w:b w:val="0"/>
                <w:i w:val="0"/>
                <w:color w:val="000000"/>
                <w:sz w:val="14"/>
              </w:rPr>
              <w:t>Protect living relatives and disputed facts</w:t>
            </w:r>
          </w:p>
        </w:tc>
      </w:tr>
      <w:tr>
        <w:tc>
          <w:tcPr>
            <w:tcW w:type="dxa" w:w="1900"/>
            <w:vAlign w:val="top"/>
            <w:tcMar>
              <w:top w:w="80" w:type="dxa"/>
              <w:start w:w="120" w:type="dxa"/>
              <w:bottom w:w="80" w:type="dxa"/>
              <w:end w:w="120" w:type="dxa"/>
            </w:tcMar>
          </w:tcPr>
          <w:p>
            <w:pPr>
              <w:spacing w:after="0" w:line="240" w:lineRule="auto"/>
            </w:pPr>
            <w:r>
              <w:rPr>
                <w:rFonts w:ascii="Calibri" w:hAnsi="Calibri"/>
                <w:b w:val="0"/>
                <w:i w:val="0"/>
                <w:color w:val="000000"/>
                <w:sz w:val="14"/>
              </w:rPr>
              <w:t>Relationship proposals/rejections</w:t>
            </w:r>
          </w:p>
        </w:tc>
        <w:tc>
          <w:tcPr>
            <w:tcW w:type="dxa" w:w="1700"/>
            <w:vAlign w:val="top"/>
            <w:tcMar>
              <w:top w:w="80" w:type="dxa"/>
              <w:start w:w="120" w:type="dxa"/>
              <w:bottom w:w="80" w:type="dxa"/>
              <w:end w:w="120" w:type="dxa"/>
            </w:tcMar>
          </w:tcPr>
          <w:p>
            <w:pPr>
              <w:spacing w:after="0" w:line="240" w:lineRule="auto"/>
            </w:pPr>
            <w:r>
              <w:rPr>
                <w:rFonts w:ascii="Calibri" w:hAnsi="Calibri"/>
                <w:b w:val="0"/>
                <w:i w:val="0"/>
                <w:color w:val="000000"/>
                <w:sz w:val="14"/>
              </w:rPr>
              <w:t>3 years after final decision</w:t>
            </w:r>
          </w:p>
        </w:tc>
        <w:tc>
          <w:tcPr>
            <w:tcW w:type="dxa" w:w="2500"/>
            <w:vAlign w:val="top"/>
            <w:tcMar>
              <w:top w:w="80" w:type="dxa"/>
              <w:start w:w="120" w:type="dxa"/>
              <w:bottom w:w="80" w:type="dxa"/>
              <w:end w:w="120" w:type="dxa"/>
            </w:tcMar>
          </w:tcPr>
          <w:p>
            <w:pPr>
              <w:spacing w:after="0" w:line="240" w:lineRule="auto"/>
            </w:pPr>
            <w:r>
              <w:rPr>
                <w:rFonts w:ascii="Calibri" w:hAnsi="Calibri"/>
                <w:b w:val="0"/>
                <w:i w:val="0"/>
                <w:color w:val="000000"/>
                <w:sz w:val="14"/>
              </w:rPr>
              <w:t>Delete or anonymize; retain minimal decision audit if needed</w:t>
            </w:r>
          </w:p>
        </w:tc>
        <w:tc>
          <w:tcPr>
            <w:tcW w:type="dxa" w:w="1600"/>
            <w:vAlign w:val="top"/>
            <w:tcMar>
              <w:top w:w="80" w:type="dxa"/>
              <w:start w:w="120" w:type="dxa"/>
              <w:bottom w:w="80" w:type="dxa"/>
              <w:end w:w="120" w:type="dxa"/>
            </w:tcMar>
          </w:tcPr>
          <w:p>
            <w:pPr>
              <w:spacing w:after="0" w:line="240" w:lineRule="auto"/>
            </w:pPr>
            <w:r>
              <w:rPr>
                <w:rFonts w:ascii="Calibri" w:hAnsi="Calibri"/>
                <w:b w:val="0"/>
                <w:i w:val="0"/>
                <w:color w:val="000000"/>
                <w:sz w:val="14"/>
              </w:rPr>
              <w:t>Dispute prevention</w:t>
            </w:r>
          </w:p>
        </w:tc>
        <w:tc>
          <w:tcPr>
            <w:tcW w:type="dxa" w:w="1660"/>
            <w:vAlign w:val="top"/>
            <w:tcMar>
              <w:top w:w="80" w:type="dxa"/>
              <w:start w:w="120" w:type="dxa"/>
              <w:bottom w:w="80" w:type="dxa"/>
              <w:end w:w="120" w:type="dxa"/>
            </w:tcMar>
          </w:tcPr>
          <w:p>
            <w:pPr>
              <w:spacing w:after="0" w:line="240" w:lineRule="auto"/>
            </w:pPr>
            <w:r>
              <w:rPr>
                <w:rFonts w:ascii="Calibri" w:hAnsi="Calibri"/>
                <w:b w:val="0"/>
                <w:i w:val="0"/>
                <w:color w:val="000000"/>
                <w:sz w:val="14"/>
              </w:rPr>
              <w:t>Sensitive edges restricted</w:t>
            </w:r>
          </w:p>
        </w:tc>
      </w:tr>
      <w:tr>
        <w:tc>
          <w:tcPr>
            <w:tcW w:type="dxa" w:w="1900"/>
            <w:vAlign w:val="top"/>
            <w:tcMar>
              <w:top w:w="80" w:type="dxa"/>
              <w:start w:w="120" w:type="dxa"/>
              <w:bottom w:w="80" w:type="dxa"/>
              <w:end w:w="120" w:type="dxa"/>
            </w:tcMar>
          </w:tcPr>
          <w:p>
            <w:pPr>
              <w:spacing w:after="0" w:line="240" w:lineRule="auto"/>
            </w:pPr>
            <w:r>
              <w:rPr>
                <w:rFonts w:ascii="Calibri" w:hAnsi="Calibri"/>
                <w:b w:val="0"/>
                <w:i w:val="0"/>
                <w:color w:val="000000"/>
                <w:sz w:val="14"/>
              </w:rPr>
              <w:t>Consent and notice records</w:t>
            </w:r>
          </w:p>
        </w:tc>
        <w:tc>
          <w:tcPr>
            <w:tcW w:type="dxa" w:w="1700"/>
            <w:vAlign w:val="top"/>
            <w:tcMar>
              <w:top w:w="80" w:type="dxa"/>
              <w:start w:w="120" w:type="dxa"/>
              <w:bottom w:w="80" w:type="dxa"/>
              <w:end w:w="120" w:type="dxa"/>
            </w:tcMar>
          </w:tcPr>
          <w:p>
            <w:pPr>
              <w:spacing w:after="0" w:line="240" w:lineRule="auto"/>
            </w:pPr>
            <w:r>
              <w:rPr>
                <w:rFonts w:ascii="Calibri" w:hAnsi="Calibri"/>
                <w:b w:val="0"/>
                <w:i w:val="0"/>
                <w:color w:val="000000"/>
                <w:sz w:val="14"/>
              </w:rPr>
              <w:t>7 years after withdrawal/account closure</w:t>
            </w:r>
          </w:p>
        </w:tc>
        <w:tc>
          <w:tcPr>
            <w:tcW w:type="dxa" w:w="2500"/>
            <w:vAlign w:val="top"/>
            <w:tcMar>
              <w:top w:w="80" w:type="dxa"/>
              <w:start w:w="120" w:type="dxa"/>
              <w:bottom w:w="80" w:type="dxa"/>
              <w:end w:w="120" w:type="dxa"/>
            </w:tcMar>
          </w:tcPr>
          <w:p>
            <w:pPr>
              <w:spacing w:after="0" w:line="240" w:lineRule="auto"/>
            </w:pPr>
            <w:r>
              <w:rPr>
                <w:rFonts w:ascii="Calibri" w:hAnsi="Calibri"/>
                <w:b w:val="0"/>
                <w:i w:val="0"/>
                <w:color w:val="000000"/>
                <w:sz w:val="14"/>
              </w:rPr>
              <w:t>Delete after claims period/approved schedule</w:t>
            </w:r>
          </w:p>
        </w:tc>
        <w:tc>
          <w:tcPr>
            <w:tcW w:type="dxa" w:w="1600"/>
            <w:vAlign w:val="top"/>
            <w:tcMar>
              <w:top w:w="80" w:type="dxa"/>
              <w:start w:w="120" w:type="dxa"/>
              <w:bottom w:w="80" w:type="dxa"/>
              <w:end w:w="120" w:type="dxa"/>
            </w:tcMar>
          </w:tcPr>
          <w:p>
            <w:pPr>
              <w:spacing w:after="0" w:line="240" w:lineRule="auto"/>
            </w:pPr>
            <w:r>
              <w:rPr>
                <w:rFonts w:ascii="Calibri" w:hAnsi="Calibri"/>
                <w:b w:val="0"/>
                <w:i w:val="0"/>
                <w:color w:val="000000"/>
                <w:sz w:val="14"/>
              </w:rPr>
              <w:t>Proof of choice</w:t>
            </w:r>
          </w:p>
        </w:tc>
        <w:tc>
          <w:tcPr>
            <w:tcW w:type="dxa" w:w="1660"/>
            <w:vAlign w:val="top"/>
            <w:tcMar>
              <w:top w:w="80" w:type="dxa"/>
              <w:start w:w="120" w:type="dxa"/>
              <w:bottom w:w="80" w:type="dxa"/>
              <w:end w:w="120" w:type="dxa"/>
            </w:tcMar>
          </w:tcPr>
          <w:p>
            <w:pPr>
              <w:spacing w:after="0" w:line="240" w:lineRule="auto"/>
            </w:pPr>
            <w:r>
              <w:rPr>
                <w:rFonts w:ascii="Calibri" w:hAnsi="Calibri"/>
                <w:b w:val="0"/>
                <w:i w:val="0"/>
                <w:color w:val="000000"/>
                <w:sz w:val="14"/>
              </w:rPr>
              <w:t>Store policy version, not unnecessary content</w:t>
            </w:r>
          </w:p>
        </w:tc>
      </w:tr>
      <w:tr>
        <w:tc>
          <w:tcPr>
            <w:tcW w:type="dxa" w:w="1900"/>
            <w:vAlign w:val="top"/>
            <w:tcMar>
              <w:top w:w="80" w:type="dxa"/>
              <w:start w:w="120" w:type="dxa"/>
              <w:bottom w:w="80" w:type="dxa"/>
              <w:end w:w="120" w:type="dxa"/>
            </w:tcMar>
          </w:tcPr>
          <w:p>
            <w:pPr>
              <w:spacing w:after="0" w:line="240" w:lineRule="auto"/>
            </w:pPr>
            <w:r>
              <w:rPr>
                <w:rFonts w:ascii="Calibri" w:hAnsi="Calibri"/>
                <w:b w:val="0"/>
                <w:i w:val="0"/>
                <w:color w:val="000000"/>
                <w:sz w:val="14"/>
              </w:rPr>
              <w:t>Private messages</w:t>
            </w:r>
          </w:p>
        </w:tc>
        <w:tc>
          <w:tcPr>
            <w:tcW w:type="dxa" w:w="1700"/>
            <w:vAlign w:val="top"/>
            <w:tcMar>
              <w:top w:w="80" w:type="dxa"/>
              <w:start w:w="120" w:type="dxa"/>
              <w:bottom w:w="80" w:type="dxa"/>
              <w:end w:w="120" w:type="dxa"/>
            </w:tcMar>
          </w:tcPr>
          <w:p>
            <w:pPr>
              <w:spacing w:after="0" w:line="240" w:lineRule="auto"/>
            </w:pPr>
            <w:r>
              <w:rPr>
                <w:rFonts w:ascii="Calibri" w:hAnsi="Calibri"/>
                <w:b w:val="0"/>
                <w:i w:val="0"/>
                <w:color w:val="000000"/>
                <w:sz w:val="14"/>
              </w:rPr>
              <w:t>User-controlled; default service retention to be finalized</w:t>
            </w:r>
          </w:p>
        </w:tc>
        <w:tc>
          <w:tcPr>
            <w:tcW w:type="dxa" w:w="2500"/>
            <w:vAlign w:val="top"/>
            <w:tcMar>
              <w:top w:w="80" w:type="dxa"/>
              <w:start w:w="120" w:type="dxa"/>
              <w:bottom w:w="80" w:type="dxa"/>
              <w:end w:w="120" w:type="dxa"/>
            </w:tcMar>
          </w:tcPr>
          <w:p>
            <w:pPr>
              <w:spacing w:after="0" w:line="240" w:lineRule="auto"/>
            </w:pPr>
            <w:r>
              <w:rPr>
                <w:rFonts w:ascii="Calibri" w:hAnsi="Calibri"/>
                <w:b w:val="0"/>
                <w:i w:val="0"/>
                <w:color w:val="000000"/>
                <w:sz w:val="14"/>
              </w:rPr>
              <w:t>Delete on user action/account closure subject to recipient copy, abuse evidence and lawful hold</w:t>
            </w:r>
          </w:p>
        </w:tc>
        <w:tc>
          <w:tcPr>
            <w:tcW w:type="dxa" w:w="1600"/>
            <w:vAlign w:val="top"/>
            <w:tcMar>
              <w:top w:w="80" w:type="dxa"/>
              <w:start w:w="120" w:type="dxa"/>
              <w:bottom w:w="80" w:type="dxa"/>
              <w:end w:w="120" w:type="dxa"/>
            </w:tcMar>
          </w:tcPr>
          <w:p>
            <w:pPr>
              <w:spacing w:after="0" w:line="240" w:lineRule="auto"/>
            </w:pPr>
            <w:r>
              <w:rPr>
                <w:rFonts w:ascii="Calibri" w:hAnsi="Calibri"/>
                <w:b w:val="0"/>
                <w:i w:val="0"/>
                <w:color w:val="000000"/>
                <w:sz w:val="14"/>
              </w:rPr>
              <w:t>Communication service</w:t>
            </w:r>
          </w:p>
        </w:tc>
        <w:tc>
          <w:tcPr>
            <w:tcW w:type="dxa" w:w="1660"/>
            <w:vAlign w:val="top"/>
            <w:tcMar>
              <w:top w:w="80" w:type="dxa"/>
              <w:start w:w="120" w:type="dxa"/>
              <w:bottom w:w="80" w:type="dxa"/>
              <w:end w:w="120" w:type="dxa"/>
            </w:tcMar>
          </w:tcPr>
          <w:p>
            <w:pPr>
              <w:spacing w:after="0" w:line="240" w:lineRule="auto"/>
            </w:pPr>
            <w:r>
              <w:rPr>
                <w:rFonts w:ascii="Calibri" w:hAnsi="Calibri"/>
                <w:b w:val="0"/>
                <w:i w:val="0"/>
                <w:color w:val="000000"/>
                <w:sz w:val="14"/>
              </w:rPr>
              <w:t>No indefinite hidden archive</w:t>
            </w:r>
          </w:p>
        </w:tc>
      </w:tr>
      <w:tr>
        <w:tc>
          <w:tcPr>
            <w:tcW w:type="dxa" w:w="1900"/>
            <w:vAlign w:val="top"/>
            <w:tcMar>
              <w:top w:w="80" w:type="dxa"/>
              <w:start w:w="120" w:type="dxa"/>
              <w:bottom w:w="80" w:type="dxa"/>
              <w:end w:w="120" w:type="dxa"/>
            </w:tcMar>
          </w:tcPr>
          <w:p>
            <w:pPr>
              <w:spacing w:after="0" w:line="240" w:lineRule="auto"/>
            </w:pPr>
            <w:r>
              <w:rPr>
                <w:rFonts w:ascii="Calibri" w:hAnsi="Calibri"/>
                <w:b w:val="0"/>
                <w:i w:val="0"/>
                <w:color w:val="000000"/>
                <w:sz w:val="14"/>
              </w:rPr>
              <w:t>Community posts/comments</w:t>
            </w:r>
          </w:p>
        </w:tc>
        <w:tc>
          <w:tcPr>
            <w:tcW w:type="dxa" w:w="1700"/>
            <w:vAlign w:val="top"/>
            <w:tcMar>
              <w:top w:w="80" w:type="dxa"/>
              <w:start w:w="120" w:type="dxa"/>
              <w:bottom w:w="80" w:type="dxa"/>
              <w:end w:w="120" w:type="dxa"/>
            </w:tcMar>
          </w:tcPr>
          <w:p>
            <w:pPr>
              <w:spacing w:after="0" w:line="240" w:lineRule="auto"/>
            </w:pPr>
            <w:r>
              <w:rPr>
                <w:rFonts w:ascii="Calibri" w:hAnsi="Calibri"/>
                <w:b w:val="0"/>
                <w:i w:val="0"/>
                <w:color w:val="000000"/>
                <w:sz w:val="14"/>
              </w:rPr>
              <w:t>Until user deletion or moderation/archival decision</w:t>
            </w:r>
          </w:p>
        </w:tc>
        <w:tc>
          <w:tcPr>
            <w:tcW w:type="dxa" w:w="2500"/>
            <w:vAlign w:val="top"/>
            <w:tcMar>
              <w:top w:w="80" w:type="dxa"/>
              <w:start w:w="120" w:type="dxa"/>
              <w:bottom w:w="80" w:type="dxa"/>
              <w:end w:w="120" w:type="dxa"/>
            </w:tcMar>
          </w:tcPr>
          <w:p>
            <w:pPr>
              <w:spacing w:after="0" w:line="240" w:lineRule="auto"/>
            </w:pPr>
            <w:r>
              <w:rPr>
                <w:rFonts w:ascii="Calibri" w:hAnsi="Calibri"/>
                <w:b w:val="0"/>
                <w:i w:val="0"/>
                <w:color w:val="000000"/>
                <w:sz w:val="14"/>
              </w:rPr>
              <w:t>Delete/anonymize after request/review</w:t>
            </w:r>
          </w:p>
        </w:tc>
        <w:tc>
          <w:tcPr>
            <w:tcW w:type="dxa" w:w="1600"/>
            <w:vAlign w:val="top"/>
            <w:tcMar>
              <w:top w:w="80" w:type="dxa"/>
              <w:start w:w="120" w:type="dxa"/>
              <w:bottom w:w="80" w:type="dxa"/>
              <w:end w:w="120" w:type="dxa"/>
            </w:tcMar>
          </w:tcPr>
          <w:p>
            <w:pPr>
              <w:spacing w:after="0" w:line="240" w:lineRule="auto"/>
            </w:pPr>
            <w:r>
              <w:rPr>
                <w:rFonts w:ascii="Calibri" w:hAnsi="Calibri"/>
                <w:b w:val="0"/>
                <w:i w:val="0"/>
                <w:color w:val="000000"/>
                <w:sz w:val="14"/>
              </w:rPr>
              <w:t>Community publishing</w:t>
            </w:r>
          </w:p>
        </w:tc>
        <w:tc>
          <w:tcPr>
            <w:tcW w:type="dxa" w:w="1660"/>
            <w:vAlign w:val="top"/>
            <w:tcMar>
              <w:top w:w="80" w:type="dxa"/>
              <w:start w:w="120" w:type="dxa"/>
              <w:bottom w:w="80" w:type="dxa"/>
              <w:end w:w="120" w:type="dxa"/>
            </w:tcMar>
          </w:tcPr>
          <w:p>
            <w:pPr>
              <w:spacing w:after="0" w:line="240" w:lineRule="auto"/>
            </w:pPr>
            <w:r>
              <w:rPr>
                <w:rFonts w:ascii="Calibri" w:hAnsi="Calibri"/>
                <w:b w:val="0"/>
                <w:i w:val="0"/>
                <w:color w:val="000000"/>
                <w:sz w:val="14"/>
              </w:rPr>
              <w:t>Public content needs explicit audience</w:t>
            </w:r>
          </w:p>
        </w:tc>
      </w:tr>
      <w:tr>
        <w:tc>
          <w:tcPr>
            <w:tcW w:type="dxa" w:w="1900"/>
            <w:vAlign w:val="top"/>
            <w:tcMar>
              <w:top w:w="80" w:type="dxa"/>
              <w:start w:w="120" w:type="dxa"/>
              <w:bottom w:w="80" w:type="dxa"/>
              <w:end w:w="120" w:type="dxa"/>
            </w:tcMar>
          </w:tcPr>
          <w:p>
            <w:pPr>
              <w:spacing w:after="0" w:line="240" w:lineRule="auto"/>
            </w:pPr>
            <w:r>
              <w:rPr>
                <w:rFonts w:ascii="Calibri" w:hAnsi="Calibri"/>
                <w:b w:val="0"/>
                <w:i w:val="0"/>
                <w:color w:val="000000"/>
                <w:sz w:val="14"/>
              </w:rPr>
              <w:t>Deleted/moderated content evidence</w:t>
            </w:r>
          </w:p>
        </w:tc>
        <w:tc>
          <w:tcPr>
            <w:tcW w:type="dxa" w:w="1700"/>
            <w:vAlign w:val="top"/>
            <w:tcMar>
              <w:top w:w="80" w:type="dxa"/>
              <w:start w:w="120" w:type="dxa"/>
              <w:bottom w:w="80" w:type="dxa"/>
              <w:end w:w="120" w:type="dxa"/>
            </w:tcMar>
          </w:tcPr>
          <w:p>
            <w:pPr>
              <w:spacing w:after="0" w:line="240" w:lineRule="auto"/>
            </w:pPr>
            <w:r>
              <w:rPr>
                <w:rFonts w:ascii="Calibri" w:hAnsi="Calibri"/>
                <w:b w:val="0"/>
                <w:i w:val="0"/>
                <w:color w:val="000000"/>
                <w:sz w:val="14"/>
              </w:rPr>
              <w:t>180 days; up to 2 years for serious/repeated safety cases</w:t>
            </w:r>
          </w:p>
        </w:tc>
        <w:tc>
          <w:tcPr>
            <w:tcW w:type="dxa" w:w="2500"/>
            <w:vAlign w:val="top"/>
            <w:tcMar>
              <w:top w:w="80" w:type="dxa"/>
              <w:start w:w="120" w:type="dxa"/>
              <w:bottom w:w="80" w:type="dxa"/>
              <w:end w:w="120" w:type="dxa"/>
            </w:tcMar>
          </w:tcPr>
          <w:p>
            <w:pPr>
              <w:spacing w:after="0" w:line="240" w:lineRule="auto"/>
            </w:pPr>
            <w:r>
              <w:rPr>
                <w:rFonts w:ascii="Calibri" w:hAnsi="Calibri"/>
                <w:b w:val="0"/>
                <w:i w:val="0"/>
                <w:color w:val="000000"/>
                <w:sz w:val="14"/>
              </w:rPr>
              <w:t>Secure purge</w:t>
            </w:r>
          </w:p>
        </w:tc>
        <w:tc>
          <w:tcPr>
            <w:tcW w:type="dxa" w:w="1600"/>
            <w:vAlign w:val="top"/>
            <w:tcMar>
              <w:top w:w="80" w:type="dxa"/>
              <w:start w:w="120" w:type="dxa"/>
              <w:bottom w:w="80" w:type="dxa"/>
              <w:end w:w="120" w:type="dxa"/>
            </w:tcMar>
          </w:tcPr>
          <w:p>
            <w:pPr>
              <w:spacing w:after="0" w:line="240" w:lineRule="auto"/>
            </w:pPr>
            <w:r>
              <w:rPr>
                <w:rFonts w:ascii="Calibri" w:hAnsi="Calibri"/>
                <w:b w:val="0"/>
                <w:i w:val="0"/>
                <w:color w:val="000000"/>
                <w:sz w:val="14"/>
              </w:rPr>
              <w:t>Appeal, abuse and safety</w:t>
            </w:r>
          </w:p>
        </w:tc>
        <w:tc>
          <w:tcPr>
            <w:tcW w:type="dxa" w:w="1660"/>
            <w:vAlign w:val="top"/>
            <w:tcMar>
              <w:top w:w="80" w:type="dxa"/>
              <w:start w:w="120" w:type="dxa"/>
              <w:bottom w:w="80" w:type="dxa"/>
              <w:end w:w="120" w:type="dxa"/>
            </w:tcMar>
          </w:tcPr>
          <w:p>
            <w:pPr>
              <w:spacing w:after="0" w:line="240" w:lineRule="auto"/>
            </w:pPr>
            <w:r>
              <w:rPr>
                <w:rFonts w:ascii="Calibri" w:hAnsi="Calibri"/>
                <w:b w:val="0"/>
                <w:i w:val="0"/>
                <w:color w:val="000000"/>
                <w:sz w:val="14"/>
              </w:rPr>
              <w:t>Case-only access</w:t>
            </w:r>
          </w:p>
        </w:tc>
      </w:tr>
      <w:tr>
        <w:tc>
          <w:tcPr>
            <w:tcW w:type="dxa" w:w="1900"/>
            <w:vAlign w:val="top"/>
            <w:tcMar>
              <w:top w:w="80" w:type="dxa"/>
              <w:start w:w="120" w:type="dxa"/>
              <w:bottom w:w="80" w:type="dxa"/>
              <w:end w:w="120" w:type="dxa"/>
            </w:tcMar>
          </w:tcPr>
          <w:p>
            <w:pPr>
              <w:spacing w:after="0" w:line="240" w:lineRule="auto"/>
            </w:pPr>
            <w:r>
              <w:rPr>
                <w:rFonts w:ascii="Calibri" w:hAnsi="Calibri"/>
                <w:b w:val="0"/>
                <w:i w:val="0"/>
                <w:color w:val="000000"/>
                <w:sz w:val="14"/>
              </w:rPr>
              <w:t>Support tickets</w:t>
            </w:r>
          </w:p>
        </w:tc>
        <w:tc>
          <w:tcPr>
            <w:tcW w:type="dxa" w:w="1700"/>
            <w:vAlign w:val="top"/>
            <w:tcMar>
              <w:top w:w="80" w:type="dxa"/>
              <w:start w:w="120" w:type="dxa"/>
              <w:bottom w:w="80" w:type="dxa"/>
              <w:end w:w="120" w:type="dxa"/>
            </w:tcMar>
          </w:tcPr>
          <w:p>
            <w:pPr>
              <w:spacing w:after="0" w:line="240" w:lineRule="auto"/>
            </w:pPr>
            <w:r>
              <w:rPr>
                <w:rFonts w:ascii="Calibri" w:hAnsi="Calibri"/>
                <w:b w:val="0"/>
                <w:i w:val="0"/>
                <w:color w:val="000000"/>
                <w:sz w:val="14"/>
              </w:rPr>
              <w:t>2 years after closure</w:t>
            </w:r>
          </w:p>
        </w:tc>
        <w:tc>
          <w:tcPr>
            <w:tcW w:type="dxa" w:w="2500"/>
            <w:vAlign w:val="top"/>
            <w:tcMar>
              <w:top w:w="80" w:type="dxa"/>
              <w:start w:w="120" w:type="dxa"/>
              <w:bottom w:w="80" w:type="dxa"/>
              <w:end w:w="120" w:type="dxa"/>
            </w:tcMar>
          </w:tcPr>
          <w:p>
            <w:pPr>
              <w:spacing w:after="0" w:line="240" w:lineRule="auto"/>
            </w:pPr>
            <w:r>
              <w:rPr>
                <w:rFonts w:ascii="Calibri" w:hAnsi="Calibri"/>
                <w:b w:val="0"/>
                <w:i w:val="0"/>
                <w:color w:val="000000"/>
                <w:sz w:val="14"/>
              </w:rPr>
              <w:t>Delete/anonymize</w:t>
            </w:r>
          </w:p>
        </w:tc>
        <w:tc>
          <w:tcPr>
            <w:tcW w:type="dxa" w:w="1600"/>
            <w:vAlign w:val="top"/>
            <w:tcMar>
              <w:top w:w="80" w:type="dxa"/>
              <w:start w:w="120" w:type="dxa"/>
              <w:bottom w:w="80" w:type="dxa"/>
              <w:end w:w="120" w:type="dxa"/>
            </w:tcMar>
          </w:tcPr>
          <w:p>
            <w:pPr>
              <w:spacing w:after="0" w:line="240" w:lineRule="auto"/>
            </w:pPr>
            <w:r>
              <w:rPr>
                <w:rFonts w:ascii="Calibri" w:hAnsi="Calibri"/>
                <w:b w:val="0"/>
                <w:i w:val="0"/>
                <w:color w:val="000000"/>
                <w:sz w:val="14"/>
              </w:rPr>
              <w:t>Service and dispute handling</w:t>
            </w:r>
          </w:p>
        </w:tc>
        <w:tc>
          <w:tcPr>
            <w:tcW w:type="dxa" w:w="1660"/>
            <w:vAlign w:val="top"/>
            <w:tcMar>
              <w:top w:w="80" w:type="dxa"/>
              <w:start w:w="120" w:type="dxa"/>
              <w:bottom w:w="80" w:type="dxa"/>
              <w:end w:w="120" w:type="dxa"/>
            </w:tcMar>
          </w:tcPr>
          <w:p>
            <w:pPr>
              <w:spacing w:after="0" w:line="240" w:lineRule="auto"/>
            </w:pPr>
            <w:r>
              <w:rPr>
                <w:rFonts w:ascii="Calibri" w:hAnsi="Calibri"/>
                <w:b w:val="0"/>
                <w:i w:val="0"/>
                <w:color w:val="000000"/>
                <w:sz w:val="14"/>
              </w:rPr>
              <w:t>Separate sensitive attachments sooner</w:t>
            </w:r>
          </w:p>
        </w:tc>
      </w:tr>
      <w:tr>
        <w:tc>
          <w:tcPr>
            <w:tcW w:type="dxa" w:w="1900"/>
            <w:vAlign w:val="top"/>
            <w:tcMar>
              <w:top w:w="80" w:type="dxa"/>
              <w:start w:w="120" w:type="dxa"/>
              <w:bottom w:w="80" w:type="dxa"/>
              <w:end w:w="120" w:type="dxa"/>
            </w:tcMar>
          </w:tcPr>
          <w:p>
            <w:pPr>
              <w:spacing w:after="0" w:line="240" w:lineRule="auto"/>
            </w:pPr>
            <w:r>
              <w:rPr>
                <w:rFonts w:ascii="Calibri" w:hAnsi="Calibri"/>
                <w:b w:val="0"/>
                <w:i w:val="0"/>
                <w:color w:val="000000"/>
                <w:sz w:val="14"/>
              </w:rPr>
              <w:t>Privacy rights requests</w:t>
            </w:r>
          </w:p>
        </w:tc>
        <w:tc>
          <w:tcPr>
            <w:tcW w:type="dxa" w:w="1700"/>
            <w:vAlign w:val="top"/>
            <w:tcMar>
              <w:top w:w="80" w:type="dxa"/>
              <w:start w:w="120" w:type="dxa"/>
              <w:bottom w:w="80" w:type="dxa"/>
              <w:end w:w="120" w:type="dxa"/>
            </w:tcMar>
          </w:tcPr>
          <w:p>
            <w:pPr>
              <w:spacing w:after="0" w:line="240" w:lineRule="auto"/>
            </w:pPr>
            <w:r>
              <w:rPr>
                <w:rFonts w:ascii="Calibri" w:hAnsi="Calibri"/>
                <w:b w:val="0"/>
                <w:i w:val="0"/>
                <w:color w:val="000000"/>
                <w:sz w:val="14"/>
              </w:rPr>
              <w:t>7 years after closure</w:t>
            </w:r>
          </w:p>
        </w:tc>
        <w:tc>
          <w:tcPr>
            <w:tcW w:type="dxa" w:w="2500"/>
            <w:vAlign w:val="top"/>
            <w:tcMar>
              <w:top w:w="80" w:type="dxa"/>
              <w:start w:w="120" w:type="dxa"/>
              <w:bottom w:w="80" w:type="dxa"/>
              <w:end w:w="120" w:type="dxa"/>
            </w:tcMar>
          </w:tcPr>
          <w:p>
            <w:pPr>
              <w:spacing w:after="0" w:line="240" w:lineRule="auto"/>
            </w:pPr>
            <w:r>
              <w:rPr>
                <w:rFonts w:ascii="Calibri" w:hAnsi="Calibri"/>
                <w:b w:val="0"/>
                <w:i w:val="0"/>
                <w:color w:val="000000"/>
                <w:sz w:val="14"/>
              </w:rPr>
              <w:t>Retain minimal audit; delete supplied identity evidence within 90 days unless needed</w:t>
            </w:r>
          </w:p>
        </w:tc>
        <w:tc>
          <w:tcPr>
            <w:tcW w:type="dxa" w:w="1600"/>
            <w:vAlign w:val="top"/>
            <w:tcMar>
              <w:top w:w="80" w:type="dxa"/>
              <w:start w:w="120" w:type="dxa"/>
              <w:bottom w:w="80" w:type="dxa"/>
              <w:end w:w="120" w:type="dxa"/>
            </w:tcMar>
          </w:tcPr>
          <w:p>
            <w:pPr>
              <w:spacing w:after="0" w:line="240" w:lineRule="auto"/>
            </w:pPr>
            <w:r>
              <w:rPr>
                <w:rFonts w:ascii="Calibri" w:hAnsi="Calibri"/>
                <w:b w:val="0"/>
                <w:i w:val="0"/>
                <w:color w:val="000000"/>
                <w:sz w:val="14"/>
              </w:rPr>
              <w:t>Compliance evidence</w:t>
            </w:r>
          </w:p>
        </w:tc>
        <w:tc>
          <w:tcPr>
            <w:tcW w:type="dxa" w:w="1660"/>
            <w:vAlign w:val="top"/>
            <w:tcMar>
              <w:top w:w="80" w:type="dxa"/>
              <w:start w:w="120" w:type="dxa"/>
              <w:bottom w:w="80" w:type="dxa"/>
              <w:end w:w="120" w:type="dxa"/>
            </w:tcMar>
          </w:tcPr>
          <w:p>
            <w:pPr>
              <w:spacing w:after="0" w:line="240" w:lineRule="auto"/>
            </w:pPr>
            <w:r>
              <w:rPr>
                <w:rFonts w:ascii="Calibri" w:hAnsi="Calibri"/>
                <w:b w:val="0"/>
                <w:i w:val="0"/>
                <w:color w:val="000000"/>
                <w:sz w:val="14"/>
              </w:rPr>
              <w:t>Do not retain deleted payload</w:t>
            </w:r>
          </w:p>
        </w:tc>
      </w:tr>
      <w:tr>
        <w:tc>
          <w:tcPr>
            <w:tcW w:type="dxa" w:w="1900"/>
            <w:vAlign w:val="top"/>
            <w:tcMar>
              <w:top w:w="80" w:type="dxa"/>
              <w:start w:w="120" w:type="dxa"/>
              <w:bottom w:w="80" w:type="dxa"/>
              <w:end w:w="120" w:type="dxa"/>
            </w:tcMar>
          </w:tcPr>
          <w:p>
            <w:pPr>
              <w:spacing w:after="0" w:line="240" w:lineRule="auto"/>
            </w:pPr>
            <w:r>
              <w:rPr>
                <w:rFonts w:ascii="Calibri" w:hAnsi="Calibri"/>
                <w:b w:val="0"/>
                <w:i w:val="0"/>
                <w:color w:val="000000"/>
                <w:sz w:val="14"/>
              </w:rPr>
              <w:t>Exact address/location</w:t>
            </w:r>
          </w:p>
        </w:tc>
        <w:tc>
          <w:tcPr>
            <w:tcW w:type="dxa" w:w="1700"/>
            <w:vAlign w:val="top"/>
            <w:tcMar>
              <w:top w:w="80" w:type="dxa"/>
              <w:start w:w="120" w:type="dxa"/>
              <w:bottom w:w="80" w:type="dxa"/>
              <w:end w:w="120" w:type="dxa"/>
            </w:tcMar>
          </w:tcPr>
          <w:p>
            <w:pPr>
              <w:spacing w:after="0" w:line="240" w:lineRule="auto"/>
            </w:pPr>
            <w:r>
              <w:rPr>
                <w:rFonts w:ascii="Calibri" w:hAnsi="Calibri"/>
                <w:b w:val="0"/>
                <w:i w:val="0"/>
                <w:color w:val="000000"/>
                <w:sz w:val="14"/>
              </w:rPr>
              <w:t>Until consent withdrawal or feature purpose ends</w:t>
            </w:r>
          </w:p>
        </w:tc>
        <w:tc>
          <w:tcPr>
            <w:tcW w:type="dxa" w:w="2500"/>
            <w:vAlign w:val="top"/>
            <w:tcMar>
              <w:top w:w="80" w:type="dxa"/>
              <w:start w:w="120" w:type="dxa"/>
              <w:bottom w:w="80" w:type="dxa"/>
              <w:end w:w="120" w:type="dxa"/>
            </w:tcMar>
          </w:tcPr>
          <w:p>
            <w:pPr>
              <w:spacing w:after="0" w:line="240" w:lineRule="auto"/>
            </w:pPr>
            <w:r>
              <w:rPr>
                <w:rFonts w:ascii="Calibri" w:hAnsi="Calibri"/>
                <w:b w:val="0"/>
                <w:i w:val="0"/>
                <w:color w:val="000000"/>
                <w:sz w:val="14"/>
              </w:rPr>
              <w:t>Prompt deletion; coarse historical locality only if separately justified</w:t>
            </w:r>
          </w:p>
        </w:tc>
        <w:tc>
          <w:tcPr>
            <w:tcW w:type="dxa" w:w="1600"/>
            <w:vAlign w:val="top"/>
            <w:tcMar>
              <w:top w:w="80" w:type="dxa"/>
              <w:start w:w="120" w:type="dxa"/>
              <w:bottom w:w="80" w:type="dxa"/>
              <w:end w:w="120" w:type="dxa"/>
            </w:tcMar>
          </w:tcPr>
          <w:p>
            <w:pPr>
              <w:spacing w:after="0" w:line="240" w:lineRule="auto"/>
            </w:pPr>
            <w:r>
              <w:rPr>
                <w:rFonts w:ascii="Calibri" w:hAnsi="Calibri"/>
                <w:b w:val="0"/>
                <w:i w:val="0"/>
                <w:color w:val="000000"/>
                <w:sz w:val="14"/>
              </w:rPr>
              <w:t>Optional map/directory</w:t>
            </w:r>
          </w:p>
        </w:tc>
        <w:tc>
          <w:tcPr>
            <w:tcW w:type="dxa" w:w="1660"/>
            <w:vAlign w:val="top"/>
            <w:tcMar>
              <w:top w:w="80" w:type="dxa"/>
              <w:start w:w="120" w:type="dxa"/>
              <w:bottom w:w="80" w:type="dxa"/>
              <w:end w:w="120" w:type="dxa"/>
            </w:tcMar>
          </w:tcPr>
          <w:p>
            <w:pPr>
              <w:spacing w:after="0" w:line="240" w:lineRule="auto"/>
            </w:pPr>
            <w:r>
              <w:rPr>
                <w:rFonts w:ascii="Calibri" w:hAnsi="Calibri"/>
                <w:b w:val="0"/>
                <w:i w:val="0"/>
                <w:color w:val="000000"/>
                <w:sz w:val="14"/>
              </w:rPr>
              <w:t>No public exact home coordinates</w:t>
            </w:r>
          </w:p>
        </w:tc>
      </w:tr>
      <w:tr>
        <w:tc>
          <w:tcPr>
            <w:tcW w:type="dxa" w:w="1900"/>
            <w:vAlign w:val="top"/>
            <w:tcMar>
              <w:top w:w="80" w:type="dxa"/>
              <w:start w:w="120" w:type="dxa"/>
              <w:bottom w:w="80" w:type="dxa"/>
              <w:end w:w="120" w:type="dxa"/>
            </w:tcMar>
          </w:tcPr>
          <w:p>
            <w:pPr>
              <w:spacing w:after="0" w:line="240" w:lineRule="auto"/>
            </w:pPr>
            <w:r>
              <w:rPr>
                <w:rFonts w:ascii="Calibri" w:hAnsi="Calibri"/>
                <w:b w:val="0"/>
                <w:i w:val="0"/>
                <w:color w:val="000000"/>
                <w:sz w:val="14"/>
              </w:rPr>
              <w:t>Photos and media</w:t>
            </w:r>
          </w:p>
        </w:tc>
        <w:tc>
          <w:tcPr>
            <w:tcW w:type="dxa" w:w="1700"/>
            <w:vAlign w:val="top"/>
            <w:tcMar>
              <w:top w:w="80" w:type="dxa"/>
              <w:start w:w="120" w:type="dxa"/>
              <w:bottom w:w="80" w:type="dxa"/>
              <w:end w:w="120" w:type="dxa"/>
            </w:tcMar>
          </w:tcPr>
          <w:p>
            <w:pPr>
              <w:spacing w:after="0" w:line="240" w:lineRule="auto"/>
            </w:pPr>
            <w:r>
              <w:rPr>
                <w:rFonts w:ascii="Calibri" w:hAnsi="Calibri"/>
                <w:b w:val="0"/>
                <w:i w:val="0"/>
                <w:color w:val="000000"/>
                <w:sz w:val="14"/>
              </w:rPr>
              <w:t>Until deletion/consent withdrawal or approved archival status</w:t>
            </w:r>
          </w:p>
        </w:tc>
        <w:tc>
          <w:tcPr>
            <w:tcW w:type="dxa" w:w="2500"/>
            <w:vAlign w:val="top"/>
            <w:tcMar>
              <w:top w:w="80" w:type="dxa"/>
              <w:start w:w="120" w:type="dxa"/>
              <w:bottom w:w="80" w:type="dxa"/>
              <w:end w:w="120" w:type="dxa"/>
            </w:tcMar>
          </w:tcPr>
          <w:p>
            <w:pPr>
              <w:spacing w:after="0" w:line="240" w:lineRule="auto"/>
            </w:pPr>
            <w:r>
              <w:rPr>
                <w:rFonts w:ascii="Calibri" w:hAnsi="Calibri"/>
                <w:b w:val="0"/>
                <w:i w:val="0"/>
                <w:color w:val="000000"/>
                <w:sz w:val="14"/>
              </w:rPr>
              <w:t>Delete derivatives/thumbnails with original</w:t>
            </w:r>
          </w:p>
        </w:tc>
        <w:tc>
          <w:tcPr>
            <w:tcW w:type="dxa" w:w="1600"/>
            <w:vAlign w:val="top"/>
            <w:tcMar>
              <w:top w:w="80" w:type="dxa"/>
              <w:start w:w="120" w:type="dxa"/>
              <w:bottom w:w="80" w:type="dxa"/>
              <w:end w:w="120" w:type="dxa"/>
            </w:tcMar>
          </w:tcPr>
          <w:p>
            <w:pPr>
              <w:spacing w:after="0" w:line="240" w:lineRule="auto"/>
            </w:pPr>
            <w:r>
              <w:rPr>
                <w:rFonts w:ascii="Calibri" w:hAnsi="Calibri"/>
                <w:b w:val="0"/>
                <w:i w:val="0"/>
                <w:color w:val="000000"/>
                <w:sz w:val="14"/>
              </w:rPr>
              <w:t>Profile/community/gallery</w:t>
            </w:r>
          </w:p>
        </w:tc>
        <w:tc>
          <w:tcPr>
            <w:tcW w:type="dxa" w:w="1660"/>
            <w:vAlign w:val="top"/>
            <w:tcMar>
              <w:top w:w="80" w:type="dxa"/>
              <w:start w:w="120" w:type="dxa"/>
              <w:bottom w:w="80" w:type="dxa"/>
              <w:end w:w="120" w:type="dxa"/>
            </w:tcMar>
          </w:tcPr>
          <w:p>
            <w:pPr>
              <w:spacing w:after="0" w:line="240" w:lineRule="auto"/>
            </w:pPr>
            <w:r>
              <w:rPr>
                <w:rFonts w:ascii="Calibri" w:hAnsi="Calibri"/>
                <w:b w:val="0"/>
                <w:i w:val="0"/>
                <w:color w:val="000000"/>
                <w:sz w:val="14"/>
              </w:rPr>
              <w:t>Document contributor rights</w:t>
            </w:r>
          </w:p>
        </w:tc>
      </w:tr>
      <w:tr>
        <w:tc>
          <w:tcPr>
            <w:tcW w:type="dxa" w:w="1900"/>
            <w:vAlign w:val="top"/>
            <w:tcMar>
              <w:top w:w="80" w:type="dxa"/>
              <w:start w:w="120" w:type="dxa"/>
              <w:bottom w:w="80" w:type="dxa"/>
              <w:end w:w="120" w:type="dxa"/>
            </w:tcMar>
          </w:tcPr>
          <w:p>
            <w:pPr>
              <w:spacing w:after="0" w:line="240" w:lineRule="auto"/>
            </w:pPr>
            <w:r>
              <w:rPr>
                <w:rFonts w:ascii="Calibri" w:hAnsi="Calibri"/>
                <w:b w:val="0"/>
                <w:i w:val="0"/>
                <w:color w:val="000000"/>
                <w:sz w:val="14"/>
              </w:rPr>
              <w:t>Analytics events</w:t>
            </w:r>
          </w:p>
        </w:tc>
        <w:tc>
          <w:tcPr>
            <w:tcW w:type="dxa" w:w="1700"/>
            <w:vAlign w:val="top"/>
            <w:tcMar>
              <w:top w:w="80" w:type="dxa"/>
              <w:start w:w="120" w:type="dxa"/>
              <w:bottom w:w="80" w:type="dxa"/>
              <w:end w:w="120" w:type="dxa"/>
            </w:tcMar>
          </w:tcPr>
          <w:p>
            <w:pPr>
              <w:spacing w:after="0" w:line="240" w:lineRule="auto"/>
            </w:pPr>
            <w:r>
              <w:rPr>
                <w:rFonts w:ascii="Calibri" w:hAnsi="Calibri"/>
                <w:b w:val="0"/>
                <w:i w:val="0"/>
                <w:color w:val="000000"/>
                <w:sz w:val="14"/>
              </w:rPr>
              <w:t>13 months maximum</w:t>
            </w:r>
          </w:p>
        </w:tc>
        <w:tc>
          <w:tcPr>
            <w:tcW w:type="dxa" w:w="2500"/>
            <w:vAlign w:val="top"/>
            <w:tcMar>
              <w:top w:w="80" w:type="dxa"/>
              <w:start w:w="120" w:type="dxa"/>
              <w:bottom w:w="80" w:type="dxa"/>
              <w:end w:w="120" w:type="dxa"/>
            </w:tcMar>
          </w:tcPr>
          <w:p>
            <w:pPr>
              <w:spacing w:after="0" w:line="240" w:lineRule="auto"/>
            </w:pPr>
            <w:r>
              <w:rPr>
                <w:rFonts w:ascii="Calibri" w:hAnsi="Calibri"/>
                <w:b w:val="0"/>
                <w:i w:val="0"/>
                <w:color w:val="000000"/>
                <w:sz w:val="14"/>
              </w:rPr>
              <w:t>Aggregate/anonymize or delete</w:t>
            </w:r>
          </w:p>
        </w:tc>
        <w:tc>
          <w:tcPr>
            <w:tcW w:type="dxa" w:w="1600"/>
            <w:vAlign w:val="top"/>
            <w:tcMar>
              <w:top w:w="80" w:type="dxa"/>
              <w:start w:w="120" w:type="dxa"/>
              <w:bottom w:w="80" w:type="dxa"/>
              <w:end w:w="120" w:type="dxa"/>
            </w:tcMar>
          </w:tcPr>
          <w:p>
            <w:pPr>
              <w:spacing w:after="0" w:line="240" w:lineRule="auto"/>
            </w:pPr>
            <w:r>
              <w:rPr>
                <w:rFonts w:ascii="Calibri" w:hAnsi="Calibri"/>
                <w:b w:val="0"/>
                <w:i w:val="0"/>
                <w:color w:val="000000"/>
                <w:sz w:val="14"/>
              </w:rPr>
              <w:t>Product reliability</w:t>
            </w:r>
          </w:p>
        </w:tc>
        <w:tc>
          <w:tcPr>
            <w:tcW w:type="dxa" w:w="1660"/>
            <w:vAlign w:val="top"/>
            <w:tcMar>
              <w:top w:w="80" w:type="dxa"/>
              <w:start w:w="120" w:type="dxa"/>
              <w:bottom w:w="80" w:type="dxa"/>
              <w:end w:w="120" w:type="dxa"/>
            </w:tcMar>
          </w:tcPr>
          <w:p>
            <w:pPr>
              <w:spacing w:after="0" w:line="240" w:lineRule="auto"/>
            </w:pPr>
            <w:r>
              <w:rPr>
                <w:rFonts w:ascii="Calibri" w:hAnsi="Calibri"/>
                <w:b w:val="0"/>
                <w:i w:val="0"/>
                <w:color w:val="000000"/>
                <w:sz w:val="14"/>
              </w:rPr>
              <w:t>No advertising profile by default</w:t>
            </w:r>
          </w:p>
        </w:tc>
      </w:tr>
      <w:tr>
        <w:tc>
          <w:tcPr>
            <w:tcW w:type="dxa" w:w="1900"/>
            <w:vAlign w:val="top"/>
            <w:tcMar>
              <w:top w:w="80" w:type="dxa"/>
              <w:start w:w="120" w:type="dxa"/>
              <w:bottom w:w="80" w:type="dxa"/>
              <w:end w:w="120" w:type="dxa"/>
            </w:tcMar>
          </w:tcPr>
          <w:p>
            <w:pPr>
              <w:spacing w:after="0" w:line="240" w:lineRule="auto"/>
            </w:pPr>
            <w:r>
              <w:rPr>
                <w:rFonts w:ascii="Calibri" w:hAnsi="Calibri"/>
                <w:b w:val="0"/>
                <w:i w:val="0"/>
                <w:color w:val="000000"/>
                <w:sz w:val="14"/>
              </w:rPr>
              <w:t>Crash diagnostics</w:t>
            </w:r>
          </w:p>
        </w:tc>
        <w:tc>
          <w:tcPr>
            <w:tcW w:type="dxa" w:w="1700"/>
            <w:vAlign w:val="top"/>
            <w:tcMar>
              <w:top w:w="80" w:type="dxa"/>
              <w:start w:w="120" w:type="dxa"/>
              <w:bottom w:w="80" w:type="dxa"/>
              <w:end w:w="120" w:type="dxa"/>
            </w:tcMar>
          </w:tcPr>
          <w:p>
            <w:pPr>
              <w:spacing w:after="0" w:line="240" w:lineRule="auto"/>
            </w:pPr>
            <w:r>
              <w:rPr>
                <w:rFonts w:ascii="Calibri" w:hAnsi="Calibri"/>
                <w:b w:val="0"/>
                <w:i w:val="0"/>
                <w:color w:val="000000"/>
                <w:sz w:val="14"/>
              </w:rPr>
              <w:t>90 days</w:t>
            </w:r>
          </w:p>
        </w:tc>
        <w:tc>
          <w:tcPr>
            <w:tcW w:type="dxa" w:w="2500"/>
            <w:vAlign w:val="top"/>
            <w:tcMar>
              <w:top w:w="80" w:type="dxa"/>
              <w:start w:w="120" w:type="dxa"/>
              <w:bottom w:w="80" w:type="dxa"/>
              <w:end w:w="120" w:type="dxa"/>
            </w:tcMar>
          </w:tcPr>
          <w:p>
            <w:pPr>
              <w:spacing w:after="0" w:line="240" w:lineRule="auto"/>
            </w:pPr>
            <w:r>
              <w:rPr>
                <w:rFonts w:ascii="Calibri" w:hAnsi="Calibri"/>
                <w:b w:val="0"/>
                <w:i w:val="0"/>
                <w:color w:val="000000"/>
                <w:sz w:val="14"/>
              </w:rPr>
              <w:t>Rolling deletion</w:t>
            </w:r>
          </w:p>
        </w:tc>
        <w:tc>
          <w:tcPr>
            <w:tcW w:type="dxa" w:w="1600"/>
            <w:vAlign w:val="top"/>
            <w:tcMar>
              <w:top w:w="80" w:type="dxa"/>
              <w:start w:w="120" w:type="dxa"/>
              <w:bottom w:w="80" w:type="dxa"/>
              <w:end w:w="120" w:type="dxa"/>
            </w:tcMar>
          </w:tcPr>
          <w:p>
            <w:pPr>
              <w:spacing w:after="0" w:line="240" w:lineRule="auto"/>
            </w:pPr>
            <w:r>
              <w:rPr>
                <w:rFonts w:ascii="Calibri" w:hAnsi="Calibri"/>
                <w:b w:val="0"/>
                <w:i w:val="0"/>
                <w:color w:val="000000"/>
                <w:sz w:val="14"/>
              </w:rPr>
              <w:t>Reliability/security</w:t>
            </w:r>
          </w:p>
        </w:tc>
        <w:tc>
          <w:tcPr>
            <w:tcW w:type="dxa" w:w="1660"/>
            <w:vAlign w:val="top"/>
            <w:tcMar>
              <w:top w:w="80" w:type="dxa"/>
              <w:start w:w="120" w:type="dxa"/>
              <w:bottom w:w="80" w:type="dxa"/>
              <w:end w:w="120" w:type="dxa"/>
            </w:tcMar>
          </w:tcPr>
          <w:p>
            <w:pPr>
              <w:spacing w:after="0" w:line="240" w:lineRule="auto"/>
            </w:pPr>
            <w:r>
              <w:rPr>
                <w:rFonts w:ascii="Calibri" w:hAnsi="Calibri"/>
                <w:b w:val="0"/>
                <w:i w:val="0"/>
                <w:color w:val="000000"/>
                <w:sz w:val="14"/>
              </w:rPr>
              <w:t>Scrub message/contact/genealogy content</w:t>
            </w:r>
          </w:p>
        </w:tc>
      </w:tr>
      <w:tr>
        <w:tc>
          <w:tcPr>
            <w:tcW w:type="dxa" w:w="1900"/>
            <w:vAlign w:val="top"/>
            <w:tcMar>
              <w:top w:w="80" w:type="dxa"/>
              <w:start w:w="120" w:type="dxa"/>
              <w:bottom w:w="80" w:type="dxa"/>
              <w:end w:w="120" w:type="dxa"/>
            </w:tcMar>
          </w:tcPr>
          <w:p>
            <w:pPr>
              <w:spacing w:after="0" w:line="240" w:lineRule="auto"/>
            </w:pPr>
            <w:r>
              <w:rPr>
                <w:rFonts w:ascii="Calibri" w:hAnsi="Calibri"/>
                <w:b w:val="0"/>
                <w:i w:val="0"/>
                <w:color w:val="000000"/>
                <w:sz w:val="14"/>
              </w:rPr>
              <w:t>Security incident evidence</w:t>
            </w:r>
          </w:p>
        </w:tc>
        <w:tc>
          <w:tcPr>
            <w:tcW w:type="dxa" w:w="1700"/>
            <w:vAlign w:val="top"/>
            <w:tcMar>
              <w:top w:w="80" w:type="dxa"/>
              <w:start w:w="120" w:type="dxa"/>
              <w:bottom w:w="80" w:type="dxa"/>
              <w:end w:w="120" w:type="dxa"/>
            </w:tcMar>
          </w:tcPr>
          <w:p>
            <w:pPr>
              <w:spacing w:after="0" w:line="240" w:lineRule="auto"/>
            </w:pPr>
            <w:r>
              <w:rPr>
                <w:rFonts w:ascii="Calibri" w:hAnsi="Calibri"/>
                <w:b w:val="0"/>
                <w:i w:val="0"/>
                <w:color w:val="000000"/>
                <w:sz w:val="14"/>
              </w:rPr>
              <w:t>7 years after closure, or counsel-approved period</w:t>
            </w:r>
          </w:p>
        </w:tc>
        <w:tc>
          <w:tcPr>
            <w:tcW w:type="dxa" w:w="2500"/>
            <w:vAlign w:val="top"/>
            <w:tcMar>
              <w:top w:w="80" w:type="dxa"/>
              <w:start w:w="120" w:type="dxa"/>
              <w:bottom w:w="80" w:type="dxa"/>
              <w:end w:w="120" w:type="dxa"/>
            </w:tcMar>
          </w:tcPr>
          <w:p>
            <w:pPr>
              <w:spacing w:after="0" w:line="240" w:lineRule="auto"/>
            </w:pPr>
            <w:r>
              <w:rPr>
                <w:rFonts w:ascii="Calibri" w:hAnsi="Calibri"/>
                <w:b w:val="0"/>
                <w:i w:val="0"/>
                <w:color w:val="000000"/>
                <w:sz w:val="14"/>
              </w:rPr>
              <w:t>Secure deletion after holds</w:t>
            </w:r>
          </w:p>
        </w:tc>
        <w:tc>
          <w:tcPr>
            <w:tcW w:type="dxa" w:w="1600"/>
            <w:vAlign w:val="top"/>
            <w:tcMar>
              <w:top w:w="80" w:type="dxa"/>
              <w:start w:w="120" w:type="dxa"/>
              <w:bottom w:w="80" w:type="dxa"/>
              <w:end w:w="120" w:type="dxa"/>
            </w:tcMar>
          </w:tcPr>
          <w:p>
            <w:pPr>
              <w:spacing w:after="0" w:line="240" w:lineRule="auto"/>
            </w:pPr>
            <w:r>
              <w:rPr>
                <w:rFonts w:ascii="Calibri" w:hAnsi="Calibri"/>
                <w:b w:val="0"/>
                <w:i w:val="0"/>
                <w:color w:val="000000"/>
                <w:sz w:val="14"/>
              </w:rPr>
              <w:t>Defense/accountability</w:t>
            </w:r>
          </w:p>
        </w:tc>
        <w:tc>
          <w:tcPr>
            <w:tcW w:type="dxa" w:w="1660"/>
            <w:vAlign w:val="top"/>
            <w:tcMar>
              <w:top w:w="80" w:type="dxa"/>
              <w:start w:w="120" w:type="dxa"/>
              <w:bottom w:w="80" w:type="dxa"/>
              <w:end w:w="120" w:type="dxa"/>
            </w:tcMar>
          </w:tcPr>
          <w:p>
            <w:pPr>
              <w:spacing w:after="0" w:line="240" w:lineRule="auto"/>
            </w:pPr>
            <w:r>
              <w:rPr>
                <w:rFonts w:ascii="Calibri" w:hAnsi="Calibri"/>
                <w:b w:val="0"/>
                <w:i w:val="0"/>
                <w:color w:val="000000"/>
                <w:sz w:val="14"/>
              </w:rPr>
              <w:t>Strict case access</w:t>
            </w:r>
          </w:p>
        </w:tc>
      </w:tr>
      <w:tr>
        <w:tc>
          <w:tcPr>
            <w:tcW w:type="dxa" w:w="1900"/>
            <w:vAlign w:val="top"/>
            <w:tcMar>
              <w:top w:w="80" w:type="dxa"/>
              <w:start w:w="120" w:type="dxa"/>
              <w:bottom w:w="80" w:type="dxa"/>
              <w:end w:w="120" w:type="dxa"/>
            </w:tcMar>
          </w:tcPr>
          <w:p>
            <w:pPr>
              <w:spacing w:after="0" w:line="240" w:lineRule="auto"/>
            </w:pPr>
            <w:r>
              <w:rPr>
                <w:rFonts w:ascii="Calibri" w:hAnsi="Calibri"/>
                <w:b w:val="0"/>
                <w:i w:val="0"/>
                <w:color w:val="000000"/>
                <w:sz w:val="14"/>
              </w:rPr>
              <w:t>Backups</w:t>
            </w:r>
          </w:p>
        </w:tc>
        <w:tc>
          <w:tcPr>
            <w:tcW w:type="dxa" w:w="1700"/>
            <w:vAlign w:val="top"/>
            <w:tcMar>
              <w:top w:w="80" w:type="dxa"/>
              <w:start w:w="120" w:type="dxa"/>
              <w:bottom w:w="80" w:type="dxa"/>
              <w:end w:w="120" w:type="dxa"/>
            </w:tcMar>
          </w:tcPr>
          <w:p>
            <w:pPr>
              <w:spacing w:after="0" w:line="240" w:lineRule="auto"/>
            </w:pPr>
            <w:r>
              <w:rPr>
                <w:rFonts w:ascii="Calibri" w:hAnsi="Calibri"/>
                <w:b w:val="0"/>
                <w:i w:val="0"/>
                <w:color w:val="000000"/>
                <w:sz w:val="14"/>
              </w:rPr>
              <w:t>35 days rolling; monthly recovery snapshots up to 12 months only if approved</w:t>
            </w:r>
          </w:p>
        </w:tc>
        <w:tc>
          <w:tcPr>
            <w:tcW w:type="dxa" w:w="2500"/>
            <w:vAlign w:val="top"/>
            <w:tcMar>
              <w:top w:w="80" w:type="dxa"/>
              <w:start w:w="120" w:type="dxa"/>
              <w:bottom w:w="80" w:type="dxa"/>
              <w:end w:w="120" w:type="dxa"/>
            </w:tcMar>
          </w:tcPr>
          <w:p>
            <w:pPr>
              <w:spacing w:after="0" w:line="240" w:lineRule="auto"/>
            </w:pPr>
            <w:r>
              <w:rPr>
                <w:rFonts w:ascii="Calibri" w:hAnsi="Calibri"/>
                <w:b w:val="0"/>
                <w:i w:val="0"/>
                <w:color w:val="000000"/>
                <w:sz w:val="14"/>
              </w:rPr>
              <w:t>Cryptographic/physical expiry</w:t>
            </w:r>
          </w:p>
        </w:tc>
        <w:tc>
          <w:tcPr>
            <w:tcW w:type="dxa" w:w="1600"/>
            <w:vAlign w:val="top"/>
            <w:tcMar>
              <w:top w:w="80" w:type="dxa"/>
              <w:start w:w="120" w:type="dxa"/>
              <w:bottom w:w="80" w:type="dxa"/>
              <w:end w:w="120" w:type="dxa"/>
            </w:tcMar>
          </w:tcPr>
          <w:p>
            <w:pPr>
              <w:spacing w:after="0" w:line="240" w:lineRule="auto"/>
            </w:pPr>
            <w:r>
              <w:rPr>
                <w:rFonts w:ascii="Calibri" w:hAnsi="Calibri"/>
                <w:b w:val="0"/>
                <w:i w:val="0"/>
                <w:color w:val="000000"/>
                <w:sz w:val="14"/>
              </w:rPr>
              <w:t>Recovery and disaster resilience</w:t>
            </w:r>
          </w:p>
        </w:tc>
        <w:tc>
          <w:tcPr>
            <w:tcW w:type="dxa" w:w="1660"/>
            <w:vAlign w:val="top"/>
            <w:tcMar>
              <w:top w:w="80" w:type="dxa"/>
              <w:start w:w="120" w:type="dxa"/>
              <w:bottom w:w="80" w:type="dxa"/>
              <w:end w:w="120" w:type="dxa"/>
            </w:tcMar>
          </w:tcPr>
          <w:p>
            <w:pPr>
              <w:spacing w:after="0" w:line="240" w:lineRule="auto"/>
            </w:pPr>
            <w:r>
              <w:rPr>
                <w:rFonts w:ascii="Calibri" w:hAnsi="Calibri"/>
                <w:b w:val="0"/>
                <w:i w:val="0"/>
                <w:color w:val="000000"/>
                <w:sz w:val="14"/>
              </w:rPr>
              <w:t>No routine restoration of deleted data</w:t>
            </w:r>
          </w:p>
        </w:tc>
      </w:tr>
      <w:tr>
        <w:tc>
          <w:tcPr>
            <w:tcW w:type="dxa" w:w="1900"/>
            <w:vAlign w:val="top"/>
            <w:tcMar>
              <w:top w:w="80" w:type="dxa"/>
              <w:start w:w="120" w:type="dxa"/>
              <w:bottom w:w="80" w:type="dxa"/>
              <w:end w:w="120" w:type="dxa"/>
            </w:tcMar>
          </w:tcPr>
          <w:p>
            <w:pPr>
              <w:spacing w:after="0" w:line="240" w:lineRule="auto"/>
            </w:pPr>
            <w:r>
              <w:rPr>
                <w:rFonts w:ascii="Calibri" w:hAnsi="Calibri"/>
                <w:b w:val="0"/>
                <w:i w:val="0"/>
                <w:color w:val="000000"/>
                <w:sz w:val="14"/>
              </w:rPr>
              <w:t>Processor copies</w:t>
            </w:r>
          </w:p>
        </w:tc>
        <w:tc>
          <w:tcPr>
            <w:tcW w:type="dxa" w:w="1700"/>
            <w:vAlign w:val="top"/>
            <w:tcMar>
              <w:top w:w="80" w:type="dxa"/>
              <w:start w:w="120" w:type="dxa"/>
              <w:bottom w:w="80" w:type="dxa"/>
              <w:end w:w="120" w:type="dxa"/>
            </w:tcMar>
          </w:tcPr>
          <w:p>
            <w:pPr>
              <w:spacing w:after="0" w:line="240" w:lineRule="auto"/>
            </w:pPr>
            <w:r>
              <w:rPr>
                <w:rFonts w:ascii="Calibri" w:hAnsi="Calibri"/>
                <w:b w:val="0"/>
                <w:i w:val="0"/>
                <w:color w:val="000000"/>
                <w:sz w:val="14"/>
              </w:rPr>
              <w:t>No longer than corresponding controller record</w:t>
            </w:r>
          </w:p>
        </w:tc>
        <w:tc>
          <w:tcPr>
            <w:tcW w:type="dxa" w:w="2500"/>
            <w:vAlign w:val="top"/>
            <w:tcMar>
              <w:top w:w="80" w:type="dxa"/>
              <w:start w:w="120" w:type="dxa"/>
              <w:bottom w:w="80" w:type="dxa"/>
              <w:end w:w="120" w:type="dxa"/>
            </w:tcMar>
          </w:tcPr>
          <w:p>
            <w:pPr>
              <w:spacing w:after="0" w:line="240" w:lineRule="auto"/>
            </w:pPr>
            <w:r>
              <w:rPr>
                <w:rFonts w:ascii="Calibri" w:hAnsi="Calibri"/>
                <w:b w:val="0"/>
                <w:i w:val="0"/>
                <w:color w:val="000000"/>
                <w:sz w:val="14"/>
              </w:rPr>
              <w:t>Contractual deletion/return and attestation</w:t>
            </w:r>
          </w:p>
        </w:tc>
        <w:tc>
          <w:tcPr>
            <w:tcW w:type="dxa" w:w="1600"/>
            <w:vAlign w:val="top"/>
            <w:tcMar>
              <w:top w:w="80" w:type="dxa"/>
              <w:start w:w="120" w:type="dxa"/>
              <w:bottom w:w="80" w:type="dxa"/>
              <w:end w:w="120" w:type="dxa"/>
            </w:tcMar>
          </w:tcPr>
          <w:p>
            <w:pPr>
              <w:spacing w:after="0" w:line="240" w:lineRule="auto"/>
            </w:pPr>
            <w:r>
              <w:rPr>
                <w:rFonts w:ascii="Calibri" w:hAnsi="Calibri"/>
                <w:b w:val="0"/>
                <w:i w:val="0"/>
                <w:color w:val="000000"/>
                <w:sz w:val="14"/>
              </w:rPr>
              <w:t>Service delivery</w:t>
            </w:r>
          </w:p>
        </w:tc>
        <w:tc>
          <w:tcPr>
            <w:tcW w:type="dxa" w:w="1660"/>
            <w:vAlign w:val="top"/>
            <w:tcMar>
              <w:top w:w="80" w:type="dxa"/>
              <w:start w:w="120" w:type="dxa"/>
              <w:bottom w:w="80" w:type="dxa"/>
              <w:end w:w="120" w:type="dxa"/>
            </w:tcMar>
          </w:tcPr>
          <w:p>
            <w:pPr>
              <w:spacing w:after="0" w:line="240" w:lineRule="auto"/>
            </w:pPr>
            <w:r>
              <w:rPr>
                <w:rFonts w:ascii="Calibri" w:hAnsi="Calibri"/>
                <w:b w:val="0"/>
                <w:i w:val="0"/>
                <w:color w:val="000000"/>
                <w:sz w:val="14"/>
              </w:rPr>
              <w:t>Flow-down schedule required</w:t>
            </w:r>
          </w:p>
        </w:tc>
      </w:tr>
      <w:tr>
        <w:tc>
          <w:tcPr>
            <w:tcW w:type="dxa" w:w="1900"/>
            <w:vAlign w:val="top"/>
            <w:tcMar>
              <w:top w:w="80" w:type="dxa"/>
              <w:start w:w="120" w:type="dxa"/>
              <w:bottom w:w="80" w:type="dxa"/>
              <w:end w:w="120" w:type="dxa"/>
            </w:tcMar>
          </w:tcPr>
          <w:p>
            <w:pPr>
              <w:spacing w:after="0" w:line="240" w:lineRule="auto"/>
            </w:pPr>
            <w:r>
              <w:rPr>
                <w:rFonts w:ascii="Calibri" w:hAnsi="Calibri"/>
                <w:b w:val="0"/>
                <w:i w:val="0"/>
                <w:color w:val="000000"/>
                <w:sz w:val="14"/>
              </w:rPr>
              <w:t>Financial/procurement records</w:t>
            </w:r>
          </w:p>
        </w:tc>
        <w:tc>
          <w:tcPr>
            <w:tcW w:type="dxa" w:w="1700"/>
            <w:vAlign w:val="top"/>
            <w:tcMar>
              <w:top w:w="80" w:type="dxa"/>
              <w:start w:w="120" w:type="dxa"/>
              <w:bottom w:w="80" w:type="dxa"/>
              <w:end w:w="120" w:type="dxa"/>
            </w:tcMar>
          </w:tcPr>
          <w:p>
            <w:pPr>
              <w:spacing w:after="0" w:line="240" w:lineRule="auto"/>
            </w:pPr>
            <w:r>
              <w:rPr>
                <w:rFonts w:ascii="Calibri" w:hAnsi="Calibri"/>
                <w:b w:val="0"/>
                <w:i w:val="0"/>
                <w:color w:val="000000"/>
                <w:sz w:val="14"/>
              </w:rPr>
              <w:t>7 years or legally required period confirmed by counsel</w:t>
            </w:r>
          </w:p>
        </w:tc>
        <w:tc>
          <w:tcPr>
            <w:tcW w:type="dxa" w:w="2500"/>
            <w:vAlign w:val="top"/>
            <w:tcMar>
              <w:top w:w="80" w:type="dxa"/>
              <w:start w:w="120" w:type="dxa"/>
              <w:bottom w:w="80" w:type="dxa"/>
              <w:end w:w="120" w:type="dxa"/>
            </w:tcMar>
          </w:tcPr>
          <w:p>
            <w:pPr>
              <w:spacing w:after="0" w:line="240" w:lineRule="auto"/>
            </w:pPr>
            <w:r>
              <w:rPr>
                <w:rFonts w:ascii="Calibri" w:hAnsi="Calibri"/>
                <w:b w:val="0"/>
                <w:i w:val="0"/>
                <w:color w:val="000000"/>
                <w:sz w:val="14"/>
              </w:rPr>
              <w:t>Secure deletion after holds</w:t>
            </w:r>
          </w:p>
        </w:tc>
        <w:tc>
          <w:tcPr>
            <w:tcW w:type="dxa" w:w="1600"/>
            <w:vAlign w:val="top"/>
            <w:tcMar>
              <w:top w:w="80" w:type="dxa"/>
              <w:start w:w="120" w:type="dxa"/>
              <w:bottom w:w="80" w:type="dxa"/>
              <w:end w:w="120" w:type="dxa"/>
            </w:tcMar>
          </w:tcPr>
          <w:p>
            <w:pPr>
              <w:spacing w:after="0" w:line="240" w:lineRule="auto"/>
            </w:pPr>
            <w:r>
              <w:rPr>
                <w:rFonts w:ascii="Calibri" w:hAnsi="Calibri"/>
                <w:b w:val="0"/>
                <w:i w:val="0"/>
                <w:color w:val="000000"/>
                <w:sz w:val="14"/>
              </w:rPr>
              <w:t>Governance/accounting</w:t>
            </w:r>
          </w:p>
        </w:tc>
        <w:tc>
          <w:tcPr>
            <w:tcW w:type="dxa" w:w="1660"/>
            <w:vAlign w:val="top"/>
            <w:tcMar>
              <w:top w:w="80" w:type="dxa"/>
              <w:start w:w="120" w:type="dxa"/>
              <w:bottom w:w="80" w:type="dxa"/>
              <w:end w:w="120" w:type="dxa"/>
            </w:tcMar>
          </w:tcPr>
          <w:p>
            <w:pPr>
              <w:spacing w:after="0" w:line="240" w:lineRule="auto"/>
            </w:pPr>
            <w:r>
              <w:rPr>
                <w:rFonts w:ascii="Calibri" w:hAnsi="Calibri"/>
                <w:b w:val="0"/>
                <w:i w:val="0"/>
                <w:color w:val="000000"/>
                <w:sz w:val="14"/>
              </w:rPr>
              <w:t>Keep separate from member profiles</w:t>
            </w:r>
          </w:p>
        </w:tc>
      </w:tr>
    </w:tbl>
    <w:p>
      <w:pPr>
        <w:spacing w:after="0"/>
      </w:pPr>
    </w:p>
    <w:p>
      <w:pPr>
        <w:pStyle w:val="Heading1"/>
      </w:pPr>
      <w:r>
        <w:t>12. Legal holds and archival exceptions</w:t>
      </w:r>
    </w:p>
    <w:p>
      <w:pPr>
        <w:spacing w:after="120" w:line="264" w:lineRule="auto"/>
      </w:pPr>
      <w:r>
        <w:rPr>
          <w:rFonts w:ascii="Calibri" w:hAnsi="Calibri"/>
          <w:b w:val="0"/>
          <w:i w:val="0"/>
          <w:color w:val="000000"/>
          <w:sz w:val="22"/>
        </w:rPr>
        <w:t>A legal hold suspends scheduled deletion only for specifically identified records and must record issuer, authority, scope, reason, date, review date and release. Holds must not become indefinite convenience archives. Cultural or historical value alone does not justify retaining a living person's private contact, exact address, messages or sensitive relationship status.</w:t>
      </w:r>
    </w:p>
    <w:p>
      <w:pPr>
        <w:pStyle w:val="Heading1"/>
      </w:pPr>
      <w:r>
        <w:t>13. Security requirements</w:t>
      </w:r>
    </w:p>
    <w:p>
      <w:pPr>
        <w:pStyle w:val="ListBullet"/>
        <w:spacing w:after="80" w:line="280" w:lineRule="auto"/>
        <w:ind w:left="720" w:hanging="360"/>
      </w:pPr>
      <w:r>
        <w:rPr>
          <w:rFonts w:ascii="Calibri" w:hAnsi="Calibri"/>
          <w:b w:val="0"/>
          <w:i w:val="0"/>
          <w:color w:val="000000"/>
          <w:sz w:val="22"/>
        </w:rPr>
        <w:t>Encrypt sensitive data in transit and at rest; manage keys separately with rotation and access logging.</w:t>
      </w:r>
    </w:p>
    <w:p>
      <w:pPr>
        <w:pStyle w:val="ListBullet"/>
        <w:spacing w:after="80" w:line="280" w:lineRule="auto"/>
        <w:ind w:left="720" w:hanging="360"/>
      </w:pPr>
      <w:r>
        <w:rPr>
          <w:rFonts w:ascii="Calibri" w:hAnsi="Calibri"/>
          <w:b w:val="0"/>
          <w:i w:val="0"/>
          <w:color w:val="000000"/>
          <w:sz w:val="22"/>
        </w:rPr>
        <w:t>Use MFA for privileged accounts, strong password hashing, short-lived sessions, revocation and device/session visibility.</w:t>
      </w:r>
    </w:p>
    <w:p>
      <w:pPr>
        <w:pStyle w:val="ListBullet"/>
        <w:spacing w:after="80" w:line="280" w:lineRule="auto"/>
        <w:ind w:left="720" w:hanging="360"/>
      </w:pPr>
      <w:r>
        <w:rPr>
          <w:rFonts w:ascii="Calibri" w:hAnsi="Calibri"/>
          <w:b w:val="0"/>
          <w:i w:val="0"/>
          <w:color w:val="000000"/>
          <w:sz w:val="22"/>
        </w:rPr>
        <w:t>Enforce authorization server-side at record and field level; branch scope is never trusted from the client.</w:t>
      </w:r>
    </w:p>
    <w:p>
      <w:pPr>
        <w:pStyle w:val="ListBullet"/>
        <w:spacing w:after="80" w:line="280" w:lineRule="auto"/>
        <w:ind w:left="720" w:hanging="360"/>
      </w:pPr>
      <w:r>
        <w:rPr>
          <w:rFonts w:ascii="Calibri" w:hAnsi="Calibri"/>
          <w:b w:val="0"/>
          <w:i w:val="0"/>
          <w:color w:val="000000"/>
          <w:sz w:val="22"/>
        </w:rPr>
        <w:t>Separate production, staging and development; do not use real personal data in development or demos.</w:t>
      </w:r>
    </w:p>
    <w:p>
      <w:pPr>
        <w:pStyle w:val="ListBullet"/>
        <w:spacing w:after="80" w:line="280" w:lineRule="auto"/>
        <w:ind w:left="720" w:hanging="360"/>
      </w:pPr>
      <w:r>
        <w:rPr>
          <w:rFonts w:ascii="Calibri" w:hAnsi="Calibri"/>
          <w:b w:val="0"/>
          <w:i w:val="0"/>
          <w:color w:val="000000"/>
          <w:sz w:val="22"/>
        </w:rPr>
        <w:t>Use immutable centralized audit logs that administrators cannot silently alter.</w:t>
      </w:r>
    </w:p>
    <w:p>
      <w:pPr>
        <w:pStyle w:val="ListBullet"/>
        <w:spacing w:after="80" w:line="280" w:lineRule="auto"/>
        <w:ind w:left="720" w:hanging="360"/>
      </w:pPr>
      <w:r>
        <w:rPr>
          <w:rFonts w:ascii="Calibri" w:hAnsi="Calibri"/>
          <w:b w:val="0"/>
          <w:i w:val="0"/>
          <w:color w:val="000000"/>
          <w:sz w:val="22"/>
        </w:rPr>
        <w:t>Scan uploads; validate file types; remove unsafe metadata; use signed, expiring download links.</w:t>
      </w:r>
    </w:p>
    <w:p>
      <w:pPr>
        <w:pStyle w:val="ListBullet"/>
        <w:spacing w:after="80" w:line="280" w:lineRule="auto"/>
        <w:ind w:left="720" w:hanging="360"/>
      </w:pPr>
      <w:r>
        <w:rPr>
          <w:rFonts w:ascii="Calibri" w:hAnsi="Calibri"/>
          <w:b w:val="0"/>
          <w:i w:val="0"/>
          <w:color w:val="000000"/>
          <w:sz w:val="22"/>
        </w:rPr>
        <w:t>Maintain secure backups, tested restoration, disaster recovery, vulnerability management, penetration testing and dependency review.</w:t>
      </w:r>
    </w:p>
    <w:p>
      <w:pPr>
        <w:pStyle w:val="ListBullet"/>
        <w:spacing w:after="80" w:line="280" w:lineRule="auto"/>
        <w:ind w:left="720" w:hanging="360"/>
      </w:pPr>
      <w:r>
        <w:rPr>
          <w:rFonts w:ascii="Calibri" w:hAnsi="Calibri"/>
          <w:b w:val="0"/>
          <w:i w:val="0"/>
          <w:color w:val="000000"/>
          <w:sz w:val="22"/>
        </w:rPr>
        <w:t>Prevent sensitive values in application logs, analytics, crash reports, URLs, notifications and support screenshots.</w:t>
      </w:r>
    </w:p>
    <w:p>
      <w:pPr>
        <w:pStyle w:val="ListBullet"/>
        <w:spacing w:after="80" w:line="280" w:lineRule="auto"/>
        <w:ind w:left="720" w:hanging="360"/>
      </w:pPr>
      <w:r>
        <w:rPr>
          <w:rFonts w:ascii="Calibri" w:hAnsi="Calibri"/>
          <w:b w:val="0"/>
          <w:i w:val="0"/>
          <w:color w:val="000000"/>
          <w:sz w:val="22"/>
        </w:rPr>
        <w:t>Apply rate limits, anti-scraping, export approval, anomaly detection and download watermarking where appropriate.</w:t>
      </w:r>
    </w:p>
    <w:p>
      <w:pPr>
        <w:pStyle w:val="ListBullet"/>
        <w:spacing w:after="80" w:line="280" w:lineRule="auto"/>
        <w:ind w:left="720" w:hanging="360"/>
      </w:pPr>
      <w:r>
        <w:rPr>
          <w:rFonts w:ascii="Calibri" w:hAnsi="Calibri"/>
          <w:b w:val="0"/>
          <w:i w:val="0"/>
          <w:color w:val="000000"/>
          <w:sz w:val="22"/>
        </w:rPr>
        <w:t>Require documented secure deletion and access termination when staff or processors leave.</w:t>
      </w:r>
    </w:p>
    <w:p>
      <w:pPr>
        <w:pStyle w:val="Heading1"/>
      </w:pPr>
      <w:r>
        <w:t>14. Messaging, notifications and community safety</w:t>
      </w:r>
    </w:p>
    <w:p>
      <w:pPr>
        <w:spacing w:after="120" w:line="264" w:lineRule="auto"/>
      </w:pPr>
      <w:r>
        <w:rPr>
          <w:rFonts w:ascii="Calibri" w:hAnsi="Calibri"/>
          <w:b w:val="0"/>
          <w:i w:val="0"/>
          <w:color w:val="000000"/>
          <w:sz w:val="22"/>
        </w:rPr>
        <w:t>Private messages must be access-controlled and excluded from advertising or unrelated profiling. Whether end-to-end encryption is provided must be stated accurately; the system must not claim E2EE unless only endpoints hold the content keys and operational recovery/moderation implications are documented. Push notifications must avoid sensitive relationship, dispute or message content on lock screens by default.</w:t>
      </w:r>
    </w:p>
    <w:p>
      <w:pPr>
        <w:spacing w:after="120" w:line="264" w:lineRule="auto"/>
      </w:pPr>
      <w:r>
        <w:rPr>
          <w:rFonts w:ascii="Calibri" w:hAnsi="Calibri"/>
          <w:b w:val="0"/>
          <w:i w:val="0"/>
          <w:color w:val="000000"/>
          <w:sz w:val="22"/>
        </w:rPr>
        <w:t>Moderation access to private content is case-based, logged and limited to reported content or a documented safety/security basis. Reports, appeals and sanctions use the separation-of-duties framework.</w:t>
      </w:r>
    </w:p>
    <w:p>
      <w:pPr>
        <w:pStyle w:val="Heading1"/>
      </w:pPr>
      <w:r>
        <w:t>15. Location and map privacy</w:t>
      </w:r>
    </w:p>
    <w:p>
      <w:pPr>
        <w:pStyle w:val="ListBullet"/>
        <w:spacing w:after="80" w:line="280" w:lineRule="auto"/>
        <w:ind w:left="720" w:hanging="360"/>
      </w:pPr>
      <w:r>
        <w:rPr>
          <w:rFonts w:ascii="Calibri" w:hAnsi="Calibri"/>
          <w:b w:val="0"/>
          <w:i w:val="0"/>
          <w:color w:val="000000"/>
          <w:sz w:val="22"/>
        </w:rPr>
        <w:t>Use manually selected locality or coarse coordinates by default; do not derive exact residence from background GPS.</w:t>
      </w:r>
    </w:p>
    <w:p>
      <w:pPr>
        <w:pStyle w:val="ListBullet"/>
        <w:spacing w:after="80" w:line="280" w:lineRule="auto"/>
        <w:ind w:left="720" w:hanging="360"/>
      </w:pPr>
      <w:r>
        <w:rPr>
          <w:rFonts w:ascii="Calibri" w:hAnsi="Calibri"/>
          <w:b w:val="0"/>
          <w:i w:val="0"/>
          <w:color w:val="000000"/>
          <w:sz w:val="22"/>
        </w:rPr>
        <w:t>Require a separate, reversible opt-in before showing a household or member on a map.</w:t>
      </w:r>
    </w:p>
    <w:p>
      <w:pPr>
        <w:pStyle w:val="ListBullet"/>
        <w:spacing w:after="80" w:line="280" w:lineRule="auto"/>
        <w:ind w:left="720" w:hanging="360"/>
      </w:pPr>
      <w:r>
        <w:rPr>
          <w:rFonts w:ascii="Calibri" w:hAnsi="Calibri"/>
          <w:b w:val="0"/>
          <w:i w:val="0"/>
          <w:color w:val="000000"/>
          <w:sz w:val="22"/>
        </w:rPr>
        <w:t>Apply geographic jitter, aggregation or minimum-group thresholds for member-facing maps.</w:t>
      </w:r>
    </w:p>
    <w:p>
      <w:pPr>
        <w:pStyle w:val="ListBullet"/>
        <w:spacing w:after="80" w:line="280" w:lineRule="auto"/>
        <w:ind w:left="720" w:hanging="360"/>
      </w:pPr>
      <w:r>
        <w:rPr>
          <w:rFonts w:ascii="Calibri" w:hAnsi="Calibri"/>
          <w:b w:val="0"/>
          <w:i w:val="0"/>
          <w:color w:val="000000"/>
          <w:sz w:val="22"/>
        </w:rPr>
        <w:t>Do not show minor, vulnerable, disputed or protected-person locations.</w:t>
      </w:r>
    </w:p>
    <w:p>
      <w:pPr>
        <w:pStyle w:val="ListBullet"/>
        <w:spacing w:after="80" w:line="280" w:lineRule="auto"/>
        <w:ind w:left="720" w:hanging="360"/>
      </w:pPr>
      <w:r>
        <w:rPr>
          <w:rFonts w:ascii="Calibri" w:hAnsi="Calibri"/>
          <w:b w:val="0"/>
          <w:i w:val="0"/>
          <w:color w:val="000000"/>
          <w:sz w:val="22"/>
        </w:rPr>
        <w:t>Prevent export of map coordinates except through a separately approved administrative purpose.</w:t>
      </w:r>
    </w:p>
    <w:p>
      <w:pPr>
        <w:pStyle w:val="ListBullet"/>
        <w:spacing w:after="80" w:line="280" w:lineRule="auto"/>
        <w:ind w:left="720" w:hanging="360"/>
      </w:pPr>
      <w:r>
        <w:rPr>
          <w:rFonts w:ascii="Calibri" w:hAnsi="Calibri"/>
          <w:b w:val="0"/>
          <w:i w:val="0"/>
          <w:color w:val="000000"/>
          <w:sz w:val="22"/>
        </w:rPr>
        <w:t>When location permission is denied, provide a manual non-location alternative.</w:t>
      </w:r>
    </w:p>
    <w:p>
      <w:pPr>
        <w:pStyle w:val="Heading1"/>
      </w:pPr>
      <w:r>
        <w:t>16. Vendors, hosting and cross-border processing</w:t>
      </w:r>
    </w:p>
    <w:p>
      <w:pPr>
        <w:spacing w:after="120" w:line="264" w:lineRule="auto"/>
      </w:pPr>
      <w:r>
        <w:rPr>
          <w:rFonts w:ascii="Calibri" w:hAnsi="Calibri"/>
          <w:b w:val="0"/>
          <w:i w:val="0"/>
          <w:color w:val="000000"/>
          <w:sz w:val="22"/>
        </w:rPr>
        <w:t>Before any processor receives personal data, the organization must document the service, data categories, locations, subprocessors, security, breach notification, deletion/return, audit rights, availability and exit plan. Cross-border hosting or support must be reviewed by Nepal-qualified counsel and disclosed appropriately. Production must not depend on an unreviewed personal developer account.</w:t>
      </w:r>
    </w:p>
    <w:tbl>
      <w:tblPr>
        <w:tblStyle w:val="TableGrid"/>
        <w:tblW w:type="dxa" w:w="9360"/>
        <w:tblLayout w:type="fixed"/>
        <w:tblLook w:firstColumn="1" w:firstRow="1" w:lastColumn="0" w:lastRow="0" w:noHBand="0" w:noVBand="1" w:val="04A0"/>
        <w:jc w:val="left"/>
        <w:tblInd w:w="120" w:type="dxa"/>
        <w:tblInd w:w="120" w:type="dxa"/>
      </w:tblPr>
      <w:tblGrid>
        <w:gridCol w:w="2600"/>
        <w:gridCol w:w="6760"/>
      </w:tblGrid>
      <w:tr>
        <w:trPr>
          <w:tblHeader w:val="true"/>
        </w:trPr>
        <w:tc>
          <w:tcPr>
            <w:tcW w:type="dxa" w:w="2600"/>
            <w:vAlign w:val="top"/>
            <w:tcMar>
              <w:top w:w="80" w:type="dxa"/>
              <w:start w:w="120" w:type="dxa"/>
              <w:bottom w:w="80" w:type="dxa"/>
              <w:end w:w="120" w:type="dxa"/>
            </w:tcMar>
            <w:shd w:fill="E8EEF5"/>
          </w:tcPr>
          <w:p>
            <w:pPr>
              <w:spacing w:after="0"/>
            </w:pPr>
            <w:r>
              <w:rPr>
                <w:rFonts w:ascii="Calibri" w:hAnsi="Calibri"/>
                <w:b/>
                <w:i w:val="0"/>
                <w:color w:val="17365D"/>
                <w:sz w:val="18"/>
              </w:rPr>
              <w:t>Processor due diligence</w:t>
            </w:r>
          </w:p>
        </w:tc>
        <w:tc>
          <w:tcPr>
            <w:tcW w:type="dxa" w:w="6760"/>
            <w:vAlign w:val="top"/>
            <w:tcMar>
              <w:top w:w="80" w:type="dxa"/>
              <w:start w:w="120" w:type="dxa"/>
              <w:bottom w:w="80" w:type="dxa"/>
              <w:end w:w="120" w:type="dxa"/>
            </w:tcMar>
            <w:shd w:fill="E8EEF5"/>
          </w:tcPr>
          <w:p>
            <w:pPr>
              <w:spacing w:after="0"/>
            </w:pPr>
            <w:r>
              <w:rPr>
                <w:rFonts w:ascii="Calibri" w:hAnsi="Calibri"/>
                <w:b/>
                <w:i w:val="0"/>
                <w:color w:val="17365D"/>
                <w:sz w:val="18"/>
              </w:rPr>
              <w:t>Minimum evidence</w:t>
            </w:r>
          </w:p>
        </w:tc>
      </w:tr>
      <w:tr>
        <w:tc>
          <w:tcPr>
            <w:tcW w:type="dxa" w:w="2600"/>
            <w:vAlign w:val="top"/>
            <w:tcMar>
              <w:top w:w="80" w:type="dxa"/>
              <w:start w:w="120" w:type="dxa"/>
              <w:bottom w:w="80" w:type="dxa"/>
              <w:end w:w="120" w:type="dxa"/>
            </w:tcMar>
          </w:tcPr>
          <w:p>
            <w:pPr>
              <w:spacing w:after="0" w:line="240" w:lineRule="auto"/>
            </w:pPr>
            <w:r>
              <w:rPr>
                <w:rFonts w:ascii="Calibri" w:hAnsi="Calibri"/>
                <w:b w:val="0"/>
                <w:i w:val="0"/>
                <w:color w:val="000000"/>
                <w:sz w:val="18"/>
              </w:rPr>
              <w:t>Identity and contract</w:t>
            </w:r>
          </w:p>
        </w:tc>
        <w:tc>
          <w:tcPr>
            <w:tcW w:type="dxa" w:w="6760"/>
            <w:vAlign w:val="top"/>
            <w:tcMar>
              <w:top w:w="80" w:type="dxa"/>
              <w:start w:w="120" w:type="dxa"/>
              <w:bottom w:w="80" w:type="dxa"/>
              <w:end w:w="120" w:type="dxa"/>
            </w:tcMar>
          </w:tcPr>
          <w:p>
            <w:pPr>
              <w:spacing w:after="0" w:line="240" w:lineRule="auto"/>
            </w:pPr>
            <w:r>
              <w:rPr>
                <w:rFonts w:ascii="Calibri" w:hAnsi="Calibri"/>
                <w:b w:val="0"/>
                <w:i w:val="0"/>
                <w:color w:val="000000"/>
                <w:sz w:val="18"/>
              </w:rPr>
              <w:t>Legal entity, service terms, data-processing terms, governing law and accountable owner</w:t>
            </w:r>
          </w:p>
        </w:tc>
      </w:tr>
      <w:tr>
        <w:tc>
          <w:tcPr>
            <w:tcW w:type="dxa" w:w="2600"/>
            <w:vAlign w:val="top"/>
            <w:tcMar>
              <w:top w:w="80" w:type="dxa"/>
              <w:start w:w="120" w:type="dxa"/>
              <w:bottom w:w="80" w:type="dxa"/>
              <w:end w:w="120" w:type="dxa"/>
            </w:tcMar>
          </w:tcPr>
          <w:p>
            <w:pPr>
              <w:spacing w:after="0" w:line="240" w:lineRule="auto"/>
            </w:pPr>
            <w:r>
              <w:rPr>
                <w:rFonts w:ascii="Calibri" w:hAnsi="Calibri"/>
                <w:b w:val="0"/>
                <w:i w:val="0"/>
                <w:color w:val="000000"/>
                <w:sz w:val="18"/>
              </w:rPr>
              <w:t>Data flow</w:t>
            </w:r>
          </w:p>
        </w:tc>
        <w:tc>
          <w:tcPr>
            <w:tcW w:type="dxa" w:w="6760"/>
            <w:vAlign w:val="top"/>
            <w:tcMar>
              <w:top w:w="80" w:type="dxa"/>
              <w:start w:w="120" w:type="dxa"/>
              <w:bottom w:w="80" w:type="dxa"/>
              <w:end w:w="120" w:type="dxa"/>
            </w:tcMar>
          </w:tcPr>
          <w:p>
            <w:pPr>
              <w:spacing w:after="0" w:line="240" w:lineRule="auto"/>
            </w:pPr>
            <w:r>
              <w:rPr>
                <w:rFonts w:ascii="Calibri" w:hAnsi="Calibri"/>
                <w:b w:val="0"/>
                <w:i w:val="0"/>
                <w:color w:val="000000"/>
                <w:sz w:val="18"/>
              </w:rPr>
              <w:t>Fields, purposes, regions, encryption, access paths and subprocessors</w:t>
            </w:r>
          </w:p>
        </w:tc>
      </w:tr>
      <w:tr>
        <w:tc>
          <w:tcPr>
            <w:tcW w:type="dxa" w:w="2600"/>
            <w:vAlign w:val="top"/>
            <w:tcMar>
              <w:top w:w="80" w:type="dxa"/>
              <w:start w:w="120" w:type="dxa"/>
              <w:bottom w:w="80" w:type="dxa"/>
              <w:end w:w="120" w:type="dxa"/>
            </w:tcMar>
          </w:tcPr>
          <w:p>
            <w:pPr>
              <w:spacing w:after="0" w:line="240" w:lineRule="auto"/>
            </w:pPr>
            <w:r>
              <w:rPr>
                <w:rFonts w:ascii="Calibri" w:hAnsi="Calibri"/>
                <w:b w:val="0"/>
                <w:i w:val="0"/>
                <w:color w:val="000000"/>
                <w:sz w:val="18"/>
              </w:rPr>
              <w:t>Security</w:t>
            </w:r>
          </w:p>
        </w:tc>
        <w:tc>
          <w:tcPr>
            <w:tcW w:type="dxa" w:w="6760"/>
            <w:vAlign w:val="top"/>
            <w:tcMar>
              <w:top w:w="80" w:type="dxa"/>
              <w:start w:w="120" w:type="dxa"/>
              <w:bottom w:w="80" w:type="dxa"/>
              <w:end w:w="120" w:type="dxa"/>
            </w:tcMar>
          </w:tcPr>
          <w:p>
            <w:pPr>
              <w:spacing w:after="0" w:line="240" w:lineRule="auto"/>
            </w:pPr>
            <w:r>
              <w:rPr>
                <w:rFonts w:ascii="Calibri" w:hAnsi="Calibri"/>
                <w:b w:val="0"/>
                <w:i w:val="0"/>
                <w:color w:val="000000"/>
                <w:sz w:val="18"/>
              </w:rPr>
              <w:t>Independent assurance where available, access controls, incident history and vulnerability process</w:t>
            </w:r>
          </w:p>
        </w:tc>
      </w:tr>
      <w:tr>
        <w:tc>
          <w:tcPr>
            <w:tcW w:type="dxa" w:w="2600"/>
            <w:vAlign w:val="top"/>
            <w:tcMar>
              <w:top w:w="80" w:type="dxa"/>
              <w:start w:w="120" w:type="dxa"/>
              <w:bottom w:w="80" w:type="dxa"/>
              <w:end w:w="120" w:type="dxa"/>
            </w:tcMar>
          </w:tcPr>
          <w:p>
            <w:pPr>
              <w:spacing w:after="0" w:line="240" w:lineRule="auto"/>
            </w:pPr>
            <w:r>
              <w:rPr>
                <w:rFonts w:ascii="Calibri" w:hAnsi="Calibri"/>
                <w:b w:val="0"/>
                <w:i w:val="0"/>
                <w:color w:val="000000"/>
                <w:sz w:val="18"/>
              </w:rPr>
              <w:t>Retention/deletion</w:t>
            </w:r>
          </w:p>
        </w:tc>
        <w:tc>
          <w:tcPr>
            <w:tcW w:type="dxa" w:w="6760"/>
            <w:vAlign w:val="top"/>
            <w:tcMar>
              <w:top w:w="80" w:type="dxa"/>
              <w:start w:w="120" w:type="dxa"/>
              <w:bottom w:w="80" w:type="dxa"/>
              <w:end w:w="120" w:type="dxa"/>
            </w:tcMar>
          </w:tcPr>
          <w:p>
            <w:pPr>
              <w:spacing w:after="0" w:line="240" w:lineRule="auto"/>
            </w:pPr>
            <w:r>
              <w:rPr>
                <w:rFonts w:ascii="Calibri" w:hAnsi="Calibri"/>
                <w:b w:val="0"/>
                <w:i w:val="0"/>
                <w:color w:val="000000"/>
                <w:sz w:val="18"/>
              </w:rPr>
              <w:t>Configurable periods, backup expiry, deletion API/process and termination attestation</w:t>
            </w:r>
          </w:p>
        </w:tc>
      </w:tr>
      <w:tr>
        <w:tc>
          <w:tcPr>
            <w:tcW w:type="dxa" w:w="2600"/>
            <w:vAlign w:val="top"/>
            <w:tcMar>
              <w:top w:w="80" w:type="dxa"/>
              <w:start w:w="120" w:type="dxa"/>
              <w:bottom w:w="80" w:type="dxa"/>
              <w:end w:w="120" w:type="dxa"/>
            </w:tcMar>
          </w:tcPr>
          <w:p>
            <w:pPr>
              <w:spacing w:after="0" w:line="240" w:lineRule="auto"/>
            </w:pPr>
            <w:r>
              <w:rPr>
                <w:rFonts w:ascii="Calibri" w:hAnsi="Calibri"/>
                <w:b w:val="0"/>
                <w:i w:val="0"/>
                <w:color w:val="000000"/>
                <w:sz w:val="18"/>
              </w:rPr>
              <w:t>Resilience</w:t>
            </w:r>
          </w:p>
        </w:tc>
        <w:tc>
          <w:tcPr>
            <w:tcW w:type="dxa" w:w="6760"/>
            <w:vAlign w:val="top"/>
            <w:tcMar>
              <w:top w:w="80" w:type="dxa"/>
              <w:start w:w="120" w:type="dxa"/>
              <w:bottom w:w="80" w:type="dxa"/>
              <w:end w:w="120" w:type="dxa"/>
            </w:tcMar>
          </w:tcPr>
          <w:p>
            <w:pPr>
              <w:spacing w:after="0" w:line="240" w:lineRule="auto"/>
            </w:pPr>
            <w:r>
              <w:rPr>
                <w:rFonts w:ascii="Calibri" w:hAnsi="Calibri"/>
                <w:b w:val="0"/>
                <w:i w:val="0"/>
                <w:color w:val="000000"/>
                <w:sz w:val="18"/>
              </w:rPr>
              <w:t>SLA, backup/restore, disaster recovery, portability and vendor-exit plan</w:t>
            </w:r>
          </w:p>
        </w:tc>
      </w:tr>
      <w:tr>
        <w:tc>
          <w:tcPr>
            <w:tcW w:type="dxa" w:w="2600"/>
            <w:vAlign w:val="top"/>
            <w:tcMar>
              <w:top w:w="80" w:type="dxa"/>
              <w:start w:w="120" w:type="dxa"/>
              <w:bottom w:w="80" w:type="dxa"/>
              <w:end w:w="120" w:type="dxa"/>
            </w:tcMar>
          </w:tcPr>
          <w:p>
            <w:pPr>
              <w:spacing w:after="0" w:line="240" w:lineRule="auto"/>
            </w:pPr>
            <w:r>
              <w:rPr>
                <w:rFonts w:ascii="Calibri" w:hAnsi="Calibri"/>
                <w:b w:val="0"/>
                <w:i w:val="0"/>
                <w:color w:val="000000"/>
                <w:sz w:val="18"/>
              </w:rPr>
              <w:t>Store/SDK disclosure</w:t>
            </w:r>
          </w:p>
        </w:tc>
        <w:tc>
          <w:tcPr>
            <w:tcW w:type="dxa" w:w="6760"/>
            <w:vAlign w:val="top"/>
            <w:tcMar>
              <w:top w:w="80" w:type="dxa"/>
              <w:start w:w="120" w:type="dxa"/>
              <w:bottom w:w="80" w:type="dxa"/>
              <w:end w:w="120" w:type="dxa"/>
            </w:tcMar>
          </w:tcPr>
          <w:p>
            <w:pPr>
              <w:spacing w:after="0" w:line="240" w:lineRule="auto"/>
            </w:pPr>
            <w:r>
              <w:rPr>
                <w:rFonts w:ascii="Calibri" w:hAnsi="Calibri"/>
                <w:b w:val="0"/>
                <w:i w:val="0"/>
                <w:color w:val="000000"/>
                <w:sz w:val="18"/>
              </w:rPr>
              <w:t>Every mobile SDK mapped to Google Data Safety and Apple App Privacy declarations</w:t>
            </w:r>
          </w:p>
        </w:tc>
      </w:tr>
    </w:tbl>
    <w:p>
      <w:pPr>
        <w:spacing w:after="0"/>
      </w:pPr>
    </w:p>
    <w:p>
      <w:pPr>
        <w:pStyle w:val="Heading1"/>
      </w:pPr>
      <w:r>
        <w:t>17. Incident and breach response</w:t>
      </w:r>
    </w:p>
    <w:p>
      <w:pPr>
        <w:pStyle w:val="ListNumber"/>
        <w:spacing w:after="100"/>
        <w:ind w:left="720" w:hanging="360"/>
      </w:pPr>
      <w:r>
        <w:rPr>
          <w:rFonts w:ascii="Calibri" w:hAnsi="Calibri"/>
          <w:b w:val="0"/>
          <w:i w:val="0"/>
          <w:color w:val="000000"/>
          <w:sz w:val="22"/>
        </w:rPr>
        <w:t>Detect and open an incident record; preserve evidence without spreading sensitive data.</w:t>
      </w:r>
    </w:p>
    <w:p>
      <w:pPr>
        <w:pStyle w:val="ListNumber"/>
        <w:spacing w:after="100"/>
        <w:ind w:left="720" w:hanging="360"/>
      </w:pPr>
      <w:r>
        <w:rPr>
          <w:rFonts w:ascii="Calibri" w:hAnsi="Calibri"/>
          <w:b w:val="0"/>
          <w:i w:val="0"/>
          <w:color w:val="000000"/>
          <w:sz w:val="22"/>
        </w:rPr>
        <w:t>Contain access, tokens, accounts, integrations and compromised devices.</w:t>
      </w:r>
    </w:p>
    <w:p>
      <w:pPr>
        <w:pStyle w:val="ListNumber"/>
        <w:spacing w:after="100"/>
        <w:ind w:left="720" w:hanging="360"/>
      </w:pPr>
      <w:r>
        <w:rPr>
          <w:rFonts w:ascii="Calibri" w:hAnsi="Calibri"/>
          <w:b w:val="0"/>
          <w:i w:val="0"/>
          <w:color w:val="000000"/>
          <w:sz w:val="22"/>
        </w:rPr>
        <w:t>Assess affected people, records, sensitivity, geography, duration and likely harm.</w:t>
      </w:r>
    </w:p>
    <w:p>
      <w:pPr>
        <w:pStyle w:val="ListNumber"/>
        <w:spacing w:after="100"/>
        <w:ind w:left="720" w:hanging="360"/>
      </w:pPr>
      <w:r>
        <w:rPr>
          <w:rFonts w:ascii="Calibri" w:hAnsi="Calibri"/>
          <w:b w:val="0"/>
          <w:i w:val="0"/>
          <w:color w:val="000000"/>
          <w:sz w:val="22"/>
        </w:rPr>
        <w:t>Notify the Incident Commander, Security Authority and DPO immediately; involve legal counsel for notification duties.</w:t>
      </w:r>
    </w:p>
    <w:p>
      <w:pPr>
        <w:pStyle w:val="ListNumber"/>
        <w:spacing w:after="100"/>
        <w:ind w:left="720" w:hanging="360"/>
      </w:pPr>
      <w:r>
        <w:rPr>
          <w:rFonts w:ascii="Calibri" w:hAnsi="Calibri"/>
          <w:b w:val="0"/>
          <w:i w:val="0"/>
          <w:color w:val="000000"/>
          <w:sz w:val="22"/>
        </w:rPr>
        <w:t>Communicate to affected people and authorities when legally required or risk-appropriate, using accurate approved content.</w:t>
      </w:r>
    </w:p>
    <w:p>
      <w:pPr>
        <w:pStyle w:val="ListNumber"/>
        <w:spacing w:after="100"/>
        <w:ind w:left="720" w:hanging="360"/>
      </w:pPr>
      <w:r>
        <w:rPr>
          <w:rFonts w:ascii="Calibri" w:hAnsi="Calibri"/>
          <w:b w:val="0"/>
          <w:i w:val="0"/>
          <w:color w:val="000000"/>
          <w:sz w:val="22"/>
        </w:rPr>
        <w:t>Recover from a trusted state, monitor recurrence and verify data integrity.</w:t>
      </w:r>
    </w:p>
    <w:p>
      <w:pPr>
        <w:pStyle w:val="ListNumber"/>
        <w:spacing w:after="100"/>
        <w:ind w:left="720" w:hanging="360"/>
      </w:pPr>
      <w:r>
        <w:rPr>
          <w:rFonts w:ascii="Calibri" w:hAnsi="Calibri"/>
          <w:b w:val="0"/>
          <w:i w:val="0"/>
          <w:color w:val="000000"/>
          <w:sz w:val="22"/>
        </w:rPr>
        <w:t>Complete a blameless post-incident review with actions, owners, deadlines and effectiveness testing.</w:t>
      </w: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vAlign w:val="top"/>
            <w:tcMar>
              <w:top w:w="80" w:type="dxa"/>
              <w:start w:w="120" w:type="dxa"/>
              <w:bottom w:w="80" w:type="dxa"/>
              <w:end w:w="120" w:type="dxa"/>
            </w:tcMar>
            <w:shd w:fill="FCE4D6"/>
          </w:tcPr>
          <w:p>
            <w:pPr>
              <w:spacing w:after="40"/>
            </w:pPr>
            <w:r>
              <w:rPr>
                <w:rFonts w:ascii="Calibri" w:hAnsi="Calibri"/>
                <w:b/>
                <w:i w:val="0"/>
                <w:color w:val="9B1C1C"/>
                <w:sz w:val="21"/>
              </w:rPr>
              <w:t xml:space="preserve">Internal target: </w:t>
            </w:r>
            <w:r>
              <w:rPr>
                <w:rFonts w:ascii="Calibri" w:hAnsi="Calibri"/>
                <w:b w:val="0"/>
                <w:i w:val="0"/>
                <w:color w:val="000000"/>
                <w:sz w:val="21"/>
              </w:rPr>
              <w:t>Severity 1 privacy/security incidents are acknowledged immediately, command is established within 15 minutes, and executive/DPO escalation occurs within 30 minutes. Legal notification deadlines must be confirmed by counsel.</w:t>
            </w:r>
          </w:p>
        </w:tc>
      </w:tr>
    </w:tbl>
    <w:p>
      <w:pPr>
        <w:spacing w:after="0"/>
      </w:pPr>
    </w:p>
    <w:p>
      <w:pPr>
        <w:pStyle w:val="Heading1"/>
      </w:pPr>
      <w:r>
        <w:t>18. Privacy engineering gates in SDLC</w:t>
      </w:r>
    </w:p>
    <w:tbl>
      <w:tblPr>
        <w:tblStyle w:val="TableGrid"/>
        <w:tblW w:type="dxa" w:w="9360"/>
        <w:tblLayout w:type="fixed"/>
        <w:tblLook w:firstColumn="1" w:firstRow="1" w:lastColumn="0" w:lastRow="0" w:noHBand="0" w:noVBand="1" w:val="04A0"/>
        <w:jc w:val="left"/>
        <w:tblInd w:w="120" w:type="dxa"/>
        <w:tblInd w:w="120" w:type="dxa"/>
      </w:tblPr>
      <w:tblGrid>
        <w:gridCol w:w="1600"/>
        <w:gridCol w:w="5660"/>
        <w:gridCol w:w="2100"/>
      </w:tblGrid>
      <w:tr>
        <w:trPr>
          <w:tblHeader w:val="true"/>
        </w:trPr>
        <w:tc>
          <w:tcPr>
            <w:tcW w:type="dxa" w:w="1600"/>
            <w:vAlign w:val="top"/>
            <w:tcMar>
              <w:top w:w="80" w:type="dxa"/>
              <w:start w:w="120" w:type="dxa"/>
              <w:bottom w:w="80" w:type="dxa"/>
              <w:end w:w="120" w:type="dxa"/>
            </w:tcMar>
            <w:shd w:fill="E8EEF5"/>
          </w:tcPr>
          <w:p>
            <w:pPr>
              <w:spacing w:after="0"/>
            </w:pPr>
            <w:r>
              <w:rPr>
                <w:rFonts w:ascii="Calibri" w:hAnsi="Calibri"/>
                <w:b/>
                <w:i w:val="0"/>
                <w:color w:val="17365D"/>
                <w:sz w:val="17"/>
              </w:rPr>
              <w:t>Gate</w:t>
            </w:r>
          </w:p>
        </w:tc>
        <w:tc>
          <w:tcPr>
            <w:tcW w:type="dxa" w:w="5660"/>
            <w:vAlign w:val="top"/>
            <w:tcMar>
              <w:top w:w="80" w:type="dxa"/>
              <w:start w:w="120" w:type="dxa"/>
              <w:bottom w:w="80" w:type="dxa"/>
              <w:end w:w="120" w:type="dxa"/>
            </w:tcMar>
            <w:shd w:fill="E8EEF5"/>
          </w:tcPr>
          <w:p>
            <w:pPr>
              <w:spacing w:after="0"/>
            </w:pPr>
            <w:r>
              <w:rPr>
                <w:rFonts w:ascii="Calibri" w:hAnsi="Calibri"/>
                <w:b/>
                <w:i w:val="0"/>
                <w:color w:val="17365D"/>
                <w:sz w:val="17"/>
              </w:rPr>
              <w:t>Mandatory evidence</w:t>
            </w:r>
          </w:p>
        </w:tc>
        <w:tc>
          <w:tcPr>
            <w:tcW w:type="dxa" w:w="2100"/>
            <w:vAlign w:val="top"/>
            <w:tcMar>
              <w:top w:w="80" w:type="dxa"/>
              <w:start w:w="120" w:type="dxa"/>
              <w:bottom w:w="80" w:type="dxa"/>
              <w:end w:w="120" w:type="dxa"/>
            </w:tcMar>
            <w:shd w:fill="E8EEF5"/>
          </w:tcPr>
          <w:p>
            <w:pPr>
              <w:spacing w:after="0"/>
            </w:pPr>
            <w:r>
              <w:rPr>
                <w:rFonts w:ascii="Calibri" w:hAnsi="Calibri"/>
                <w:b/>
                <w:i w:val="0"/>
                <w:color w:val="17365D"/>
                <w:sz w:val="17"/>
              </w:rPr>
              <w:t>Accountable owner</w:t>
            </w:r>
          </w:p>
        </w:tc>
      </w:tr>
      <w:tr>
        <w:tc>
          <w:tcPr>
            <w:tcW w:type="dxa" w:w="1600"/>
            <w:vAlign w:val="top"/>
            <w:tcMar>
              <w:top w:w="80" w:type="dxa"/>
              <w:start w:w="120" w:type="dxa"/>
              <w:bottom w:w="80" w:type="dxa"/>
              <w:end w:w="120" w:type="dxa"/>
            </w:tcMar>
          </w:tcPr>
          <w:p>
            <w:pPr>
              <w:spacing w:after="0" w:line="240" w:lineRule="auto"/>
            </w:pPr>
            <w:r>
              <w:rPr>
                <w:rFonts w:ascii="Calibri" w:hAnsi="Calibri"/>
                <w:b w:val="0"/>
                <w:i w:val="0"/>
                <w:color w:val="000000"/>
                <w:sz w:val="17"/>
              </w:rPr>
              <w:t>Requirements</w:t>
            </w:r>
          </w:p>
        </w:tc>
        <w:tc>
          <w:tcPr>
            <w:tcW w:type="dxa" w:w="5660"/>
            <w:vAlign w:val="top"/>
            <w:tcMar>
              <w:top w:w="80" w:type="dxa"/>
              <w:start w:w="120" w:type="dxa"/>
              <w:bottom w:w="80" w:type="dxa"/>
              <w:end w:w="120" w:type="dxa"/>
            </w:tcMar>
          </w:tcPr>
          <w:p>
            <w:pPr>
              <w:spacing w:after="0" w:line="240" w:lineRule="auto"/>
            </w:pPr>
            <w:r>
              <w:rPr>
                <w:rFonts w:ascii="Calibri" w:hAnsi="Calibri"/>
                <w:b w:val="0"/>
                <w:i w:val="0"/>
                <w:color w:val="000000"/>
                <w:sz w:val="17"/>
              </w:rPr>
              <w:t>Purpose, minimum fields, users, visibility, legal basis, retention, rights and misuse cases documented</w:t>
            </w:r>
          </w:p>
        </w:tc>
        <w:tc>
          <w:tcPr>
            <w:tcW w:type="dxa" w:w="2100"/>
            <w:vAlign w:val="top"/>
            <w:tcMar>
              <w:top w:w="80" w:type="dxa"/>
              <w:start w:w="120" w:type="dxa"/>
              <w:bottom w:w="80" w:type="dxa"/>
              <w:end w:w="120" w:type="dxa"/>
            </w:tcMar>
          </w:tcPr>
          <w:p>
            <w:pPr>
              <w:spacing w:after="0" w:line="240" w:lineRule="auto"/>
            </w:pPr>
            <w:r>
              <w:rPr>
                <w:rFonts w:ascii="Calibri" w:hAnsi="Calibri"/>
                <w:b w:val="0"/>
                <w:i w:val="0"/>
                <w:color w:val="000000"/>
                <w:sz w:val="17"/>
              </w:rPr>
              <w:t>Product Owner + DPO</w:t>
            </w:r>
          </w:p>
        </w:tc>
      </w:tr>
      <w:tr>
        <w:tc>
          <w:tcPr>
            <w:tcW w:type="dxa" w:w="1600"/>
            <w:vAlign w:val="top"/>
            <w:tcMar>
              <w:top w:w="80" w:type="dxa"/>
              <w:start w:w="120" w:type="dxa"/>
              <w:bottom w:w="80" w:type="dxa"/>
              <w:end w:w="120" w:type="dxa"/>
            </w:tcMar>
          </w:tcPr>
          <w:p>
            <w:pPr>
              <w:spacing w:after="0" w:line="240" w:lineRule="auto"/>
            </w:pPr>
            <w:r>
              <w:rPr>
                <w:rFonts w:ascii="Calibri" w:hAnsi="Calibri"/>
                <w:b w:val="0"/>
                <w:i w:val="0"/>
                <w:color w:val="000000"/>
                <w:sz w:val="17"/>
              </w:rPr>
              <w:t>Design</w:t>
            </w:r>
          </w:p>
        </w:tc>
        <w:tc>
          <w:tcPr>
            <w:tcW w:type="dxa" w:w="5660"/>
            <w:vAlign w:val="top"/>
            <w:tcMar>
              <w:top w:w="80" w:type="dxa"/>
              <w:start w:w="120" w:type="dxa"/>
              <w:bottom w:w="80" w:type="dxa"/>
              <w:end w:w="120" w:type="dxa"/>
            </w:tcMar>
          </w:tcPr>
          <w:p>
            <w:pPr>
              <w:spacing w:after="0" w:line="240" w:lineRule="auto"/>
            </w:pPr>
            <w:r>
              <w:rPr>
                <w:rFonts w:ascii="Calibri" w:hAnsi="Calibri"/>
                <w:b w:val="0"/>
                <w:i w:val="0"/>
                <w:color w:val="000000"/>
                <w:sz w:val="17"/>
              </w:rPr>
              <w:t>Data-flow diagram, threat model, field-level authorization, consent UX, deletion design and DPIA complete</w:t>
            </w:r>
          </w:p>
        </w:tc>
        <w:tc>
          <w:tcPr>
            <w:tcW w:type="dxa" w:w="2100"/>
            <w:vAlign w:val="top"/>
            <w:tcMar>
              <w:top w:w="80" w:type="dxa"/>
              <w:start w:w="120" w:type="dxa"/>
              <w:bottom w:w="80" w:type="dxa"/>
              <w:end w:w="120" w:type="dxa"/>
            </w:tcMar>
          </w:tcPr>
          <w:p>
            <w:pPr>
              <w:spacing w:after="0" w:line="240" w:lineRule="auto"/>
            </w:pPr>
            <w:r>
              <w:rPr>
                <w:rFonts w:ascii="Calibri" w:hAnsi="Calibri"/>
                <w:b w:val="0"/>
                <w:i w:val="0"/>
                <w:color w:val="000000"/>
                <w:sz w:val="17"/>
              </w:rPr>
              <w:t>Architecture + Security + DPO</w:t>
            </w:r>
          </w:p>
        </w:tc>
      </w:tr>
      <w:tr>
        <w:tc>
          <w:tcPr>
            <w:tcW w:type="dxa" w:w="1600"/>
            <w:vAlign w:val="top"/>
            <w:tcMar>
              <w:top w:w="80" w:type="dxa"/>
              <w:start w:w="120" w:type="dxa"/>
              <w:bottom w:w="80" w:type="dxa"/>
              <w:end w:w="120" w:type="dxa"/>
            </w:tcMar>
          </w:tcPr>
          <w:p>
            <w:pPr>
              <w:spacing w:after="0" w:line="240" w:lineRule="auto"/>
            </w:pPr>
            <w:r>
              <w:rPr>
                <w:rFonts w:ascii="Calibri" w:hAnsi="Calibri"/>
                <w:b w:val="0"/>
                <w:i w:val="0"/>
                <w:color w:val="000000"/>
                <w:sz w:val="17"/>
              </w:rPr>
              <w:t>Build</w:t>
            </w:r>
          </w:p>
        </w:tc>
        <w:tc>
          <w:tcPr>
            <w:tcW w:type="dxa" w:w="5660"/>
            <w:vAlign w:val="top"/>
            <w:tcMar>
              <w:top w:w="80" w:type="dxa"/>
              <w:start w:w="120" w:type="dxa"/>
              <w:bottom w:w="80" w:type="dxa"/>
              <w:end w:w="120" w:type="dxa"/>
            </w:tcMar>
          </w:tcPr>
          <w:p>
            <w:pPr>
              <w:spacing w:after="0" w:line="240" w:lineRule="auto"/>
            </w:pPr>
            <w:r>
              <w:rPr>
                <w:rFonts w:ascii="Calibri" w:hAnsi="Calibri"/>
                <w:b w:val="0"/>
                <w:i w:val="0"/>
                <w:color w:val="000000"/>
                <w:sz w:val="17"/>
              </w:rPr>
              <w:t>Secure coding, test data controls, secrets management, audit events and configurable retention implemented</w:t>
            </w:r>
          </w:p>
        </w:tc>
        <w:tc>
          <w:tcPr>
            <w:tcW w:type="dxa" w:w="2100"/>
            <w:vAlign w:val="top"/>
            <w:tcMar>
              <w:top w:w="80" w:type="dxa"/>
              <w:start w:w="120" w:type="dxa"/>
              <w:bottom w:w="80" w:type="dxa"/>
              <w:end w:w="120" w:type="dxa"/>
            </w:tcMar>
          </w:tcPr>
          <w:p>
            <w:pPr>
              <w:spacing w:after="0" w:line="240" w:lineRule="auto"/>
            </w:pPr>
            <w:r>
              <w:rPr>
                <w:rFonts w:ascii="Calibri" w:hAnsi="Calibri"/>
                <w:b w:val="0"/>
                <w:i w:val="0"/>
                <w:color w:val="000000"/>
                <w:sz w:val="17"/>
              </w:rPr>
              <w:t>Engineering</w:t>
            </w:r>
          </w:p>
        </w:tc>
      </w:tr>
      <w:tr>
        <w:tc>
          <w:tcPr>
            <w:tcW w:type="dxa" w:w="1600"/>
            <w:vAlign w:val="top"/>
            <w:tcMar>
              <w:top w:w="80" w:type="dxa"/>
              <w:start w:w="120" w:type="dxa"/>
              <w:bottom w:w="80" w:type="dxa"/>
              <w:end w:w="120" w:type="dxa"/>
            </w:tcMar>
          </w:tcPr>
          <w:p>
            <w:pPr>
              <w:spacing w:after="0" w:line="240" w:lineRule="auto"/>
            </w:pPr>
            <w:r>
              <w:rPr>
                <w:rFonts w:ascii="Calibri" w:hAnsi="Calibri"/>
                <w:b w:val="0"/>
                <w:i w:val="0"/>
                <w:color w:val="000000"/>
                <w:sz w:val="17"/>
              </w:rPr>
              <w:t>Test</w:t>
            </w:r>
          </w:p>
        </w:tc>
        <w:tc>
          <w:tcPr>
            <w:tcW w:type="dxa" w:w="5660"/>
            <w:vAlign w:val="top"/>
            <w:tcMar>
              <w:top w:w="80" w:type="dxa"/>
              <w:start w:w="120" w:type="dxa"/>
              <w:bottom w:w="80" w:type="dxa"/>
              <w:end w:w="120" w:type="dxa"/>
            </w:tcMar>
          </w:tcPr>
          <w:p>
            <w:pPr>
              <w:spacing w:after="0" w:line="240" w:lineRule="auto"/>
            </w:pPr>
            <w:r>
              <w:rPr>
                <w:rFonts w:ascii="Calibri" w:hAnsi="Calibri"/>
                <w:b w:val="0"/>
                <w:i w:val="0"/>
                <w:color w:val="000000"/>
                <w:sz w:val="17"/>
              </w:rPr>
              <w:t>Authorization, enumeration, export, deletion, consent, minor, backup and incident tests pass</w:t>
            </w:r>
          </w:p>
        </w:tc>
        <w:tc>
          <w:tcPr>
            <w:tcW w:type="dxa" w:w="2100"/>
            <w:vAlign w:val="top"/>
            <w:tcMar>
              <w:top w:w="80" w:type="dxa"/>
              <w:start w:w="120" w:type="dxa"/>
              <w:bottom w:w="80" w:type="dxa"/>
              <w:end w:w="120" w:type="dxa"/>
            </w:tcMar>
          </w:tcPr>
          <w:p>
            <w:pPr>
              <w:spacing w:after="0" w:line="240" w:lineRule="auto"/>
            </w:pPr>
            <w:r>
              <w:rPr>
                <w:rFonts w:ascii="Calibri" w:hAnsi="Calibri"/>
                <w:b w:val="0"/>
                <w:i w:val="0"/>
                <w:color w:val="000000"/>
                <w:sz w:val="17"/>
              </w:rPr>
              <w:t>QA + Security + DPO</w:t>
            </w:r>
          </w:p>
        </w:tc>
      </w:tr>
      <w:tr>
        <w:tc>
          <w:tcPr>
            <w:tcW w:type="dxa" w:w="1600"/>
            <w:vAlign w:val="top"/>
            <w:tcMar>
              <w:top w:w="80" w:type="dxa"/>
              <w:start w:w="120" w:type="dxa"/>
              <w:bottom w:w="80" w:type="dxa"/>
              <w:end w:w="120" w:type="dxa"/>
            </w:tcMar>
          </w:tcPr>
          <w:p>
            <w:pPr>
              <w:spacing w:after="0" w:line="240" w:lineRule="auto"/>
            </w:pPr>
            <w:r>
              <w:rPr>
                <w:rFonts w:ascii="Calibri" w:hAnsi="Calibri"/>
                <w:b w:val="0"/>
                <w:i w:val="0"/>
                <w:color w:val="000000"/>
                <w:sz w:val="17"/>
              </w:rPr>
              <w:t>UAT</w:t>
            </w:r>
          </w:p>
        </w:tc>
        <w:tc>
          <w:tcPr>
            <w:tcW w:type="dxa" w:w="5660"/>
            <w:vAlign w:val="top"/>
            <w:tcMar>
              <w:top w:w="80" w:type="dxa"/>
              <w:start w:w="120" w:type="dxa"/>
              <w:bottom w:w="80" w:type="dxa"/>
              <w:end w:w="120" w:type="dxa"/>
            </w:tcMar>
          </w:tcPr>
          <w:p>
            <w:pPr>
              <w:spacing w:after="0" w:line="240" w:lineRule="auto"/>
            </w:pPr>
            <w:r>
              <w:rPr>
                <w:rFonts w:ascii="Calibri" w:hAnsi="Calibri"/>
                <w:b w:val="0"/>
                <w:i w:val="0"/>
                <w:color w:val="000000"/>
                <w:sz w:val="17"/>
              </w:rPr>
              <w:t>Branch/cultural users verify understandable privacy behavior and no hidden relationship leakage</w:t>
            </w:r>
          </w:p>
        </w:tc>
        <w:tc>
          <w:tcPr>
            <w:tcW w:type="dxa" w:w="2100"/>
            <w:vAlign w:val="top"/>
            <w:tcMar>
              <w:top w:w="80" w:type="dxa"/>
              <w:start w:w="120" w:type="dxa"/>
              <w:bottom w:w="80" w:type="dxa"/>
              <w:end w:w="120" w:type="dxa"/>
            </w:tcMar>
          </w:tcPr>
          <w:p>
            <w:pPr>
              <w:spacing w:after="0" w:line="240" w:lineRule="auto"/>
            </w:pPr>
            <w:r>
              <w:rPr>
                <w:rFonts w:ascii="Calibri" w:hAnsi="Calibri"/>
                <w:b w:val="0"/>
                <w:i w:val="0"/>
                <w:color w:val="000000"/>
                <w:sz w:val="17"/>
              </w:rPr>
              <w:t>Product + Community UAT</w:t>
            </w:r>
          </w:p>
        </w:tc>
      </w:tr>
      <w:tr>
        <w:tc>
          <w:tcPr>
            <w:tcW w:type="dxa" w:w="1600"/>
            <w:vAlign w:val="top"/>
            <w:tcMar>
              <w:top w:w="80" w:type="dxa"/>
              <w:start w:w="120" w:type="dxa"/>
              <w:bottom w:w="80" w:type="dxa"/>
              <w:end w:w="120" w:type="dxa"/>
            </w:tcMar>
          </w:tcPr>
          <w:p>
            <w:pPr>
              <w:spacing w:after="0" w:line="240" w:lineRule="auto"/>
            </w:pPr>
            <w:r>
              <w:rPr>
                <w:rFonts w:ascii="Calibri" w:hAnsi="Calibri"/>
                <w:b w:val="0"/>
                <w:i w:val="0"/>
                <w:color w:val="000000"/>
                <w:sz w:val="17"/>
              </w:rPr>
              <w:t>Release</w:t>
            </w:r>
          </w:p>
        </w:tc>
        <w:tc>
          <w:tcPr>
            <w:tcW w:type="dxa" w:w="5660"/>
            <w:vAlign w:val="top"/>
            <w:tcMar>
              <w:top w:w="80" w:type="dxa"/>
              <w:start w:w="120" w:type="dxa"/>
              <w:bottom w:w="80" w:type="dxa"/>
              <w:end w:w="120" w:type="dxa"/>
            </w:tcMar>
          </w:tcPr>
          <w:p>
            <w:pPr>
              <w:spacing w:after="0" w:line="240" w:lineRule="auto"/>
            </w:pPr>
            <w:r>
              <w:rPr>
                <w:rFonts w:ascii="Calibri" w:hAnsi="Calibri"/>
                <w:b w:val="0"/>
                <w:i w:val="0"/>
                <w:color w:val="000000"/>
                <w:sz w:val="17"/>
              </w:rPr>
              <w:t>Counsel approval, processor register, notices, store forms, web deletion URL, incident contacts and rollback evidence complete</w:t>
            </w:r>
          </w:p>
        </w:tc>
        <w:tc>
          <w:tcPr>
            <w:tcW w:type="dxa" w:w="2100"/>
            <w:vAlign w:val="top"/>
            <w:tcMar>
              <w:top w:w="80" w:type="dxa"/>
              <w:start w:w="120" w:type="dxa"/>
              <w:bottom w:w="80" w:type="dxa"/>
              <w:end w:w="120" w:type="dxa"/>
            </w:tcMar>
          </w:tcPr>
          <w:p>
            <w:pPr>
              <w:spacing w:after="0" w:line="240" w:lineRule="auto"/>
            </w:pPr>
            <w:r>
              <w:rPr>
                <w:rFonts w:ascii="Calibri" w:hAnsi="Calibri"/>
                <w:b w:val="0"/>
                <w:i w:val="0"/>
                <w:color w:val="000000"/>
                <w:sz w:val="17"/>
              </w:rPr>
              <w:t>Release Authority</w:t>
            </w:r>
          </w:p>
        </w:tc>
      </w:tr>
      <w:tr>
        <w:tc>
          <w:tcPr>
            <w:tcW w:type="dxa" w:w="1600"/>
            <w:vAlign w:val="top"/>
            <w:tcMar>
              <w:top w:w="80" w:type="dxa"/>
              <w:start w:w="120" w:type="dxa"/>
              <w:bottom w:w="80" w:type="dxa"/>
              <w:end w:w="120" w:type="dxa"/>
            </w:tcMar>
          </w:tcPr>
          <w:p>
            <w:pPr>
              <w:spacing w:after="0" w:line="240" w:lineRule="auto"/>
            </w:pPr>
            <w:r>
              <w:rPr>
                <w:rFonts w:ascii="Calibri" w:hAnsi="Calibri"/>
                <w:b w:val="0"/>
                <w:i w:val="0"/>
                <w:color w:val="000000"/>
                <w:sz w:val="17"/>
              </w:rPr>
              <w:t>Operate</w:t>
            </w:r>
          </w:p>
        </w:tc>
        <w:tc>
          <w:tcPr>
            <w:tcW w:type="dxa" w:w="5660"/>
            <w:vAlign w:val="top"/>
            <w:tcMar>
              <w:top w:w="80" w:type="dxa"/>
              <w:start w:w="120" w:type="dxa"/>
              <w:bottom w:w="80" w:type="dxa"/>
              <w:end w:w="120" w:type="dxa"/>
            </w:tcMar>
          </w:tcPr>
          <w:p>
            <w:pPr>
              <w:spacing w:after="0" w:line="240" w:lineRule="auto"/>
            </w:pPr>
            <w:r>
              <w:rPr>
                <w:rFonts w:ascii="Calibri" w:hAnsi="Calibri"/>
                <w:b w:val="0"/>
                <w:i w:val="0"/>
                <w:color w:val="000000"/>
                <w:sz w:val="17"/>
              </w:rPr>
              <w:t>Access reviews, deletion jobs, retention checks, incident exercises, vendor reviews and policy refresh</w:t>
            </w:r>
          </w:p>
        </w:tc>
        <w:tc>
          <w:tcPr>
            <w:tcW w:type="dxa" w:w="2100"/>
            <w:vAlign w:val="top"/>
            <w:tcMar>
              <w:top w:w="80" w:type="dxa"/>
              <w:start w:w="120" w:type="dxa"/>
              <w:bottom w:w="80" w:type="dxa"/>
              <w:end w:w="120" w:type="dxa"/>
            </w:tcMar>
          </w:tcPr>
          <w:p>
            <w:pPr>
              <w:spacing w:after="0" w:line="240" w:lineRule="auto"/>
            </w:pPr>
            <w:r>
              <w:rPr>
                <w:rFonts w:ascii="Calibri" w:hAnsi="Calibri"/>
                <w:b w:val="0"/>
                <w:i w:val="0"/>
                <w:color w:val="000000"/>
                <w:sz w:val="17"/>
              </w:rPr>
              <w:t>Operations + DPO + Auditor</w:t>
            </w:r>
          </w:p>
        </w:tc>
      </w:tr>
    </w:tbl>
    <w:p>
      <w:pPr>
        <w:spacing w:after="0"/>
      </w:pPr>
    </w:p>
    <w:p>
      <w:pPr>
        <w:pStyle w:val="Heading1"/>
      </w:pPr>
      <w:r>
        <w:t>19. Required privacy test cases</w:t>
      </w:r>
    </w:p>
    <w:tbl>
      <w:tblPr>
        <w:tblStyle w:val="TableGrid"/>
        <w:tblW w:type="dxa" w:w="9360"/>
        <w:tblLayout w:type="fixed"/>
        <w:tblLook w:firstColumn="1" w:firstRow="1" w:lastColumn="0" w:lastRow="0" w:noHBand="0" w:noVBand="1" w:val="04A0"/>
        <w:jc w:val="left"/>
        <w:tblInd w:w="120" w:type="dxa"/>
        <w:tblInd w:w="120" w:type="dxa"/>
      </w:tblPr>
      <w:tblGrid>
        <w:gridCol w:w="1200"/>
        <w:gridCol w:w="4200"/>
        <w:gridCol w:w="3960"/>
      </w:tblGrid>
      <w:tr>
        <w:trPr>
          <w:tblHeader w:val="true"/>
        </w:trPr>
        <w:tc>
          <w:tcPr>
            <w:tcW w:type="dxa" w:w="1200"/>
            <w:vAlign w:val="top"/>
            <w:tcMar>
              <w:top w:w="80" w:type="dxa"/>
              <w:start w:w="120" w:type="dxa"/>
              <w:bottom w:w="80" w:type="dxa"/>
              <w:end w:w="120" w:type="dxa"/>
            </w:tcMar>
            <w:shd w:fill="E8EEF5"/>
          </w:tcPr>
          <w:p>
            <w:pPr>
              <w:spacing w:after="0"/>
            </w:pPr>
            <w:r>
              <w:rPr>
                <w:rFonts w:ascii="Calibri" w:hAnsi="Calibri"/>
                <w:b/>
                <w:i w:val="0"/>
                <w:color w:val="17365D"/>
                <w:sz w:val="16"/>
              </w:rPr>
              <w:t>Test ID</w:t>
            </w:r>
          </w:p>
        </w:tc>
        <w:tc>
          <w:tcPr>
            <w:tcW w:type="dxa" w:w="4200"/>
            <w:vAlign w:val="top"/>
            <w:tcMar>
              <w:top w:w="80" w:type="dxa"/>
              <w:start w:w="120" w:type="dxa"/>
              <w:bottom w:w="80" w:type="dxa"/>
              <w:end w:w="120" w:type="dxa"/>
            </w:tcMar>
            <w:shd w:fill="E8EEF5"/>
          </w:tcPr>
          <w:p>
            <w:pPr>
              <w:spacing w:after="0"/>
            </w:pPr>
            <w:r>
              <w:rPr>
                <w:rFonts w:ascii="Calibri" w:hAnsi="Calibri"/>
                <w:b/>
                <w:i w:val="0"/>
                <w:color w:val="17365D"/>
                <w:sz w:val="16"/>
              </w:rPr>
              <w:t>Scenario</w:t>
            </w:r>
          </w:p>
        </w:tc>
        <w:tc>
          <w:tcPr>
            <w:tcW w:type="dxa" w:w="3960"/>
            <w:vAlign w:val="top"/>
            <w:tcMar>
              <w:top w:w="80" w:type="dxa"/>
              <w:start w:w="120" w:type="dxa"/>
              <w:bottom w:w="80" w:type="dxa"/>
              <w:end w:w="120" w:type="dxa"/>
            </w:tcMar>
            <w:shd w:fill="E8EEF5"/>
          </w:tcPr>
          <w:p>
            <w:pPr>
              <w:spacing w:after="0"/>
            </w:pPr>
            <w:r>
              <w:rPr>
                <w:rFonts w:ascii="Calibri" w:hAnsi="Calibri"/>
                <w:b/>
                <w:i w:val="0"/>
                <w:color w:val="17365D"/>
                <w:sz w:val="16"/>
              </w:rPr>
              <w:t>Required outcome</w:t>
            </w:r>
          </w:p>
        </w:tc>
      </w:tr>
      <w:tr>
        <w:tc>
          <w:tcPr>
            <w:tcW w:type="dxa" w:w="1200"/>
            <w:vAlign w:val="top"/>
            <w:tcMar>
              <w:top w:w="80" w:type="dxa"/>
              <w:start w:w="120" w:type="dxa"/>
              <w:bottom w:w="80" w:type="dxa"/>
              <w:end w:w="120" w:type="dxa"/>
            </w:tcMar>
          </w:tcPr>
          <w:p>
            <w:pPr>
              <w:spacing w:after="0" w:line="240" w:lineRule="auto"/>
            </w:pPr>
            <w:r>
              <w:rPr>
                <w:rFonts w:ascii="Calibri" w:hAnsi="Calibri"/>
                <w:b w:val="0"/>
                <w:i w:val="0"/>
                <w:color w:val="000000"/>
                <w:sz w:val="16"/>
              </w:rPr>
              <w:t>PRV-001</w:t>
            </w:r>
          </w:p>
        </w:tc>
        <w:tc>
          <w:tcPr>
            <w:tcW w:type="dxa" w:w="4200"/>
            <w:vAlign w:val="top"/>
            <w:tcMar>
              <w:top w:w="80" w:type="dxa"/>
              <w:start w:w="120" w:type="dxa"/>
              <w:bottom w:w="80" w:type="dxa"/>
              <w:end w:w="120" w:type="dxa"/>
            </w:tcMar>
          </w:tcPr>
          <w:p>
            <w:pPr>
              <w:spacing w:after="0" w:line="240" w:lineRule="auto"/>
            </w:pPr>
            <w:r>
              <w:rPr>
                <w:rFonts w:ascii="Calibri" w:hAnsi="Calibri"/>
                <w:b w:val="0"/>
                <w:i w:val="0"/>
                <w:color w:val="000000"/>
                <w:sz w:val="16"/>
              </w:rPr>
              <w:t>Unauthorized branch user requests a private person record</w:t>
            </w:r>
          </w:p>
        </w:tc>
        <w:tc>
          <w:tcPr>
            <w:tcW w:type="dxa" w:w="3960"/>
            <w:vAlign w:val="top"/>
            <w:tcMar>
              <w:top w:w="80" w:type="dxa"/>
              <w:start w:w="120" w:type="dxa"/>
              <w:bottom w:w="80" w:type="dxa"/>
              <w:end w:w="120" w:type="dxa"/>
            </w:tcMar>
          </w:tcPr>
          <w:p>
            <w:pPr>
              <w:spacing w:after="0" w:line="240" w:lineRule="auto"/>
            </w:pPr>
            <w:r>
              <w:rPr>
                <w:rFonts w:ascii="Calibri" w:hAnsi="Calibri"/>
                <w:b w:val="0"/>
                <w:i w:val="0"/>
                <w:color w:val="000000"/>
                <w:sz w:val="16"/>
              </w:rPr>
              <w:t>Deny; no existence leakage; audit event</w:t>
            </w:r>
          </w:p>
        </w:tc>
      </w:tr>
      <w:tr>
        <w:tc>
          <w:tcPr>
            <w:tcW w:type="dxa" w:w="1200"/>
            <w:vAlign w:val="top"/>
            <w:tcMar>
              <w:top w:w="80" w:type="dxa"/>
              <w:start w:w="120" w:type="dxa"/>
              <w:bottom w:w="80" w:type="dxa"/>
              <w:end w:w="120" w:type="dxa"/>
            </w:tcMar>
          </w:tcPr>
          <w:p>
            <w:pPr>
              <w:spacing w:after="0" w:line="240" w:lineRule="auto"/>
            </w:pPr>
            <w:r>
              <w:rPr>
                <w:rFonts w:ascii="Calibri" w:hAnsi="Calibri"/>
                <w:b w:val="0"/>
                <w:i w:val="0"/>
                <w:color w:val="000000"/>
                <w:sz w:val="16"/>
              </w:rPr>
              <w:t>PRV-002</w:t>
            </w:r>
          </w:p>
        </w:tc>
        <w:tc>
          <w:tcPr>
            <w:tcW w:type="dxa" w:w="4200"/>
            <w:vAlign w:val="top"/>
            <w:tcMar>
              <w:top w:w="80" w:type="dxa"/>
              <w:start w:w="120" w:type="dxa"/>
              <w:bottom w:w="80" w:type="dxa"/>
              <w:end w:w="120" w:type="dxa"/>
            </w:tcMar>
          </w:tcPr>
          <w:p>
            <w:pPr>
              <w:spacing w:after="0" w:line="240" w:lineRule="auto"/>
            </w:pPr>
            <w:r>
              <w:rPr>
                <w:rFonts w:ascii="Calibri" w:hAnsi="Calibri"/>
                <w:b w:val="0"/>
                <w:i w:val="0"/>
                <w:color w:val="000000"/>
                <w:sz w:val="16"/>
              </w:rPr>
              <w:t>Member searches by sequential IDs or rapidly traverses a tree</w:t>
            </w:r>
          </w:p>
        </w:tc>
        <w:tc>
          <w:tcPr>
            <w:tcW w:type="dxa" w:w="3960"/>
            <w:vAlign w:val="top"/>
            <w:tcMar>
              <w:top w:w="80" w:type="dxa"/>
              <w:start w:w="120" w:type="dxa"/>
              <w:bottom w:w="80" w:type="dxa"/>
              <w:end w:w="120" w:type="dxa"/>
            </w:tcMar>
          </w:tcPr>
          <w:p>
            <w:pPr>
              <w:spacing w:after="0" w:line="240" w:lineRule="auto"/>
            </w:pPr>
            <w:r>
              <w:rPr>
                <w:rFonts w:ascii="Calibri" w:hAnsi="Calibri"/>
                <w:b w:val="0"/>
                <w:i w:val="0"/>
                <w:color w:val="000000"/>
                <w:sz w:val="16"/>
              </w:rPr>
              <w:t>Rate-limit/block; alert; no bulk disclosure</w:t>
            </w:r>
          </w:p>
        </w:tc>
      </w:tr>
      <w:tr>
        <w:tc>
          <w:tcPr>
            <w:tcW w:type="dxa" w:w="1200"/>
            <w:vAlign w:val="top"/>
            <w:tcMar>
              <w:top w:w="80" w:type="dxa"/>
              <w:start w:w="120" w:type="dxa"/>
              <w:bottom w:w="80" w:type="dxa"/>
              <w:end w:w="120" w:type="dxa"/>
            </w:tcMar>
          </w:tcPr>
          <w:p>
            <w:pPr>
              <w:spacing w:after="0" w:line="240" w:lineRule="auto"/>
            </w:pPr>
            <w:r>
              <w:rPr>
                <w:rFonts w:ascii="Calibri" w:hAnsi="Calibri"/>
                <w:b w:val="0"/>
                <w:i w:val="0"/>
                <w:color w:val="000000"/>
                <w:sz w:val="16"/>
              </w:rPr>
              <w:t>PRV-003</w:t>
            </w:r>
          </w:p>
        </w:tc>
        <w:tc>
          <w:tcPr>
            <w:tcW w:type="dxa" w:w="4200"/>
            <w:vAlign w:val="top"/>
            <w:tcMar>
              <w:top w:w="80" w:type="dxa"/>
              <w:start w:w="120" w:type="dxa"/>
              <w:bottom w:w="80" w:type="dxa"/>
              <w:end w:w="120" w:type="dxa"/>
            </w:tcMar>
          </w:tcPr>
          <w:p>
            <w:pPr>
              <w:spacing w:after="0" w:line="240" w:lineRule="auto"/>
            </w:pPr>
            <w:r>
              <w:rPr>
                <w:rFonts w:ascii="Calibri" w:hAnsi="Calibri"/>
                <w:b w:val="0"/>
                <w:i w:val="0"/>
                <w:color w:val="000000"/>
                <w:sz w:val="16"/>
              </w:rPr>
              <w:t>User withdraws map consent</w:t>
            </w:r>
          </w:p>
        </w:tc>
        <w:tc>
          <w:tcPr>
            <w:tcW w:type="dxa" w:w="3960"/>
            <w:vAlign w:val="top"/>
            <w:tcMar>
              <w:top w:w="80" w:type="dxa"/>
              <w:start w:w="120" w:type="dxa"/>
              <w:bottom w:w="80" w:type="dxa"/>
              <w:end w:w="120" w:type="dxa"/>
            </w:tcMar>
          </w:tcPr>
          <w:p>
            <w:pPr>
              <w:spacing w:after="0" w:line="240" w:lineRule="auto"/>
            </w:pPr>
            <w:r>
              <w:rPr>
                <w:rFonts w:ascii="Calibri" w:hAnsi="Calibri"/>
                <w:b w:val="0"/>
                <w:i w:val="0"/>
                <w:color w:val="000000"/>
                <w:sz w:val="16"/>
              </w:rPr>
              <w:t>Remove map visibility promptly; retain only approved coarse history</w:t>
            </w:r>
          </w:p>
        </w:tc>
      </w:tr>
      <w:tr>
        <w:tc>
          <w:tcPr>
            <w:tcW w:type="dxa" w:w="1200"/>
            <w:vAlign w:val="top"/>
            <w:tcMar>
              <w:top w:w="80" w:type="dxa"/>
              <w:start w:w="120" w:type="dxa"/>
              <w:bottom w:w="80" w:type="dxa"/>
              <w:end w:w="120" w:type="dxa"/>
            </w:tcMar>
          </w:tcPr>
          <w:p>
            <w:pPr>
              <w:spacing w:after="0" w:line="240" w:lineRule="auto"/>
            </w:pPr>
            <w:r>
              <w:rPr>
                <w:rFonts w:ascii="Calibri" w:hAnsi="Calibri"/>
                <w:b w:val="0"/>
                <w:i w:val="0"/>
                <w:color w:val="000000"/>
                <w:sz w:val="16"/>
              </w:rPr>
              <w:t>PRV-004</w:t>
            </w:r>
          </w:p>
        </w:tc>
        <w:tc>
          <w:tcPr>
            <w:tcW w:type="dxa" w:w="4200"/>
            <w:vAlign w:val="top"/>
            <w:tcMar>
              <w:top w:w="80" w:type="dxa"/>
              <w:start w:w="120" w:type="dxa"/>
              <w:bottom w:w="80" w:type="dxa"/>
              <w:end w:w="120" w:type="dxa"/>
            </w:tcMar>
          </w:tcPr>
          <w:p>
            <w:pPr>
              <w:spacing w:after="0" w:line="240" w:lineRule="auto"/>
            </w:pPr>
            <w:r>
              <w:rPr>
                <w:rFonts w:ascii="Calibri" w:hAnsi="Calibri"/>
                <w:b w:val="0"/>
                <w:i w:val="0"/>
                <w:color w:val="000000"/>
                <w:sz w:val="16"/>
              </w:rPr>
              <w:t>Minor account receives unknown-adult message</w:t>
            </w:r>
          </w:p>
        </w:tc>
        <w:tc>
          <w:tcPr>
            <w:tcW w:type="dxa" w:w="3960"/>
            <w:vAlign w:val="top"/>
            <w:tcMar>
              <w:top w:w="80" w:type="dxa"/>
              <w:start w:w="120" w:type="dxa"/>
              <w:bottom w:w="80" w:type="dxa"/>
              <w:end w:w="120" w:type="dxa"/>
            </w:tcMar>
          </w:tcPr>
          <w:p>
            <w:pPr>
              <w:spacing w:after="0" w:line="240" w:lineRule="auto"/>
            </w:pPr>
            <w:r>
              <w:rPr>
                <w:rFonts w:ascii="Calibri" w:hAnsi="Calibri"/>
                <w:b w:val="0"/>
                <w:i w:val="0"/>
                <w:color w:val="000000"/>
                <w:sz w:val="16"/>
              </w:rPr>
              <w:t>Apply approved restriction/reporting rules</w:t>
            </w:r>
          </w:p>
        </w:tc>
      </w:tr>
      <w:tr>
        <w:tc>
          <w:tcPr>
            <w:tcW w:type="dxa" w:w="1200"/>
            <w:vAlign w:val="top"/>
            <w:tcMar>
              <w:top w:w="80" w:type="dxa"/>
              <w:start w:w="120" w:type="dxa"/>
              <w:bottom w:w="80" w:type="dxa"/>
              <w:end w:w="120" w:type="dxa"/>
            </w:tcMar>
          </w:tcPr>
          <w:p>
            <w:pPr>
              <w:spacing w:after="0" w:line="240" w:lineRule="auto"/>
            </w:pPr>
            <w:r>
              <w:rPr>
                <w:rFonts w:ascii="Calibri" w:hAnsi="Calibri"/>
                <w:b w:val="0"/>
                <w:i w:val="0"/>
                <w:color w:val="000000"/>
                <w:sz w:val="16"/>
              </w:rPr>
              <w:t>PRV-005</w:t>
            </w:r>
          </w:p>
        </w:tc>
        <w:tc>
          <w:tcPr>
            <w:tcW w:type="dxa" w:w="4200"/>
            <w:vAlign w:val="top"/>
            <w:tcMar>
              <w:top w:w="80" w:type="dxa"/>
              <w:start w:w="120" w:type="dxa"/>
              <w:bottom w:w="80" w:type="dxa"/>
              <w:end w:w="120" w:type="dxa"/>
            </w:tcMar>
          </w:tcPr>
          <w:p>
            <w:pPr>
              <w:spacing w:after="0" w:line="240" w:lineRule="auto"/>
            </w:pPr>
            <w:r>
              <w:rPr>
                <w:rFonts w:ascii="Calibri" w:hAnsi="Calibri"/>
                <w:b w:val="0"/>
                <w:i w:val="0"/>
                <w:color w:val="000000"/>
                <w:sz w:val="16"/>
              </w:rPr>
              <w:t>Account deletion through app</w:t>
            </w:r>
          </w:p>
        </w:tc>
        <w:tc>
          <w:tcPr>
            <w:tcW w:type="dxa" w:w="3960"/>
            <w:vAlign w:val="top"/>
            <w:tcMar>
              <w:top w:w="80" w:type="dxa"/>
              <w:start w:w="120" w:type="dxa"/>
              <w:bottom w:w="80" w:type="dxa"/>
              <w:end w:w="120" w:type="dxa"/>
            </w:tcMar>
          </w:tcPr>
          <w:p>
            <w:pPr>
              <w:spacing w:after="0" w:line="240" w:lineRule="auto"/>
            </w:pPr>
            <w:r>
              <w:rPr>
                <w:rFonts w:ascii="Calibri" w:hAnsi="Calibri"/>
                <w:b w:val="0"/>
                <w:i w:val="0"/>
                <w:color w:val="000000"/>
                <w:sz w:val="16"/>
              </w:rPr>
              <w:t>Authenticate, explain, schedule and execute account/private-data deletion</w:t>
            </w:r>
          </w:p>
        </w:tc>
      </w:tr>
      <w:tr>
        <w:tc>
          <w:tcPr>
            <w:tcW w:type="dxa" w:w="1200"/>
            <w:vAlign w:val="top"/>
            <w:tcMar>
              <w:top w:w="80" w:type="dxa"/>
              <w:start w:w="120" w:type="dxa"/>
              <w:bottom w:w="80" w:type="dxa"/>
              <w:end w:w="120" w:type="dxa"/>
            </w:tcMar>
          </w:tcPr>
          <w:p>
            <w:pPr>
              <w:spacing w:after="0" w:line="240" w:lineRule="auto"/>
            </w:pPr>
            <w:r>
              <w:rPr>
                <w:rFonts w:ascii="Calibri" w:hAnsi="Calibri"/>
                <w:b w:val="0"/>
                <w:i w:val="0"/>
                <w:color w:val="000000"/>
                <w:sz w:val="16"/>
              </w:rPr>
              <w:t>PRV-006</w:t>
            </w:r>
          </w:p>
        </w:tc>
        <w:tc>
          <w:tcPr>
            <w:tcW w:type="dxa" w:w="4200"/>
            <w:vAlign w:val="top"/>
            <w:tcMar>
              <w:top w:w="80" w:type="dxa"/>
              <w:start w:w="120" w:type="dxa"/>
              <w:bottom w:w="80" w:type="dxa"/>
              <w:end w:w="120" w:type="dxa"/>
            </w:tcMar>
          </w:tcPr>
          <w:p>
            <w:pPr>
              <w:spacing w:after="0" w:line="240" w:lineRule="auto"/>
            </w:pPr>
            <w:r>
              <w:rPr>
                <w:rFonts w:ascii="Calibri" w:hAnsi="Calibri"/>
                <w:b w:val="0"/>
                <w:i w:val="0"/>
                <w:color w:val="000000"/>
                <w:sz w:val="16"/>
              </w:rPr>
              <w:t>Account deletion through public web route</w:t>
            </w:r>
          </w:p>
        </w:tc>
        <w:tc>
          <w:tcPr>
            <w:tcW w:type="dxa" w:w="3960"/>
            <w:vAlign w:val="top"/>
            <w:tcMar>
              <w:top w:w="80" w:type="dxa"/>
              <w:start w:w="120" w:type="dxa"/>
              <w:bottom w:w="80" w:type="dxa"/>
              <w:end w:w="120" w:type="dxa"/>
            </w:tcMar>
          </w:tcPr>
          <w:p>
            <w:pPr>
              <w:spacing w:after="0" w:line="240" w:lineRule="auto"/>
            </w:pPr>
            <w:r>
              <w:rPr>
                <w:rFonts w:ascii="Calibri" w:hAnsi="Calibri"/>
                <w:b w:val="0"/>
                <w:i w:val="0"/>
                <w:color w:val="000000"/>
                <w:sz w:val="16"/>
              </w:rPr>
              <w:t>Request works without reinstalling app; status is trackable</w:t>
            </w:r>
          </w:p>
        </w:tc>
      </w:tr>
      <w:tr>
        <w:tc>
          <w:tcPr>
            <w:tcW w:type="dxa" w:w="1200"/>
            <w:vAlign w:val="top"/>
            <w:tcMar>
              <w:top w:w="80" w:type="dxa"/>
              <w:start w:w="120" w:type="dxa"/>
              <w:bottom w:w="80" w:type="dxa"/>
              <w:end w:w="120" w:type="dxa"/>
            </w:tcMar>
          </w:tcPr>
          <w:p>
            <w:pPr>
              <w:spacing w:after="0" w:line="240" w:lineRule="auto"/>
            </w:pPr>
            <w:r>
              <w:rPr>
                <w:rFonts w:ascii="Calibri" w:hAnsi="Calibri"/>
                <w:b w:val="0"/>
                <w:i w:val="0"/>
                <w:color w:val="000000"/>
                <w:sz w:val="16"/>
              </w:rPr>
              <w:t>PRV-007</w:t>
            </w:r>
          </w:p>
        </w:tc>
        <w:tc>
          <w:tcPr>
            <w:tcW w:type="dxa" w:w="4200"/>
            <w:vAlign w:val="top"/>
            <w:tcMar>
              <w:top w:w="80" w:type="dxa"/>
              <w:start w:w="120" w:type="dxa"/>
              <w:bottom w:w="80" w:type="dxa"/>
              <w:end w:w="120" w:type="dxa"/>
            </w:tcMar>
          </w:tcPr>
          <w:p>
            <w:pPr>
              <w:spacing w:after="0" w:line="240" w:lineRule="auto"/>
            </w:pPr>
            <w:r>
              <w:rPr>
                <w:rFonts w:ascii="Calibri" w:hAnsi="Calibri"/>
                <w:b w:val="0"/>
                <w:i w:val="0"/>
                <w:color w:val="000000"/>
                <w:sz w:val="16"/>
              </w:rPr>
              <w:t>Deleted user has shared genealogy links</w:t>
            </w:r>
          </w:p>
        </w:tc>
        <w:tc>
          <w:tcPr>
            <w:tcW w:type="dxa" w:w="3960"/>
            <w:vAlign w:val="top"/>
            <w:tcMar>
              <w:top w:w="80" w:type="dxa"/>
              <w:start w:w="120" w:type="dxa"/>
              <w:bottom w:w="80" w:type="dxa"/>
              <w:end w:w="120" w:type="dxa"/>
            </w:tcMar>
          </w:tcPr>
          <w:p>
            <w:pPr>
              <w:spacing w:after="0" w:line="240" w:lineRule="auto"/>
            </w:pPr>
            <w:r>
              <w:rPr>
                <w:rFonts w:ascii="Calibri" w:hAnsi="Calibri"/>
                <w:b w:val="0"/>
                <w:i w:val="0"/>
                <w:color w:val="000000"/>
                <w:sz w:val="16"/>
              </w:rPr>
              <w:t>Remove account/private data; review/minimize independent shared facts without corrupting relatives' records</w:t>
            </w:r>
          </w:p>
        </w:tc>
      </w:tr>
      <w:tr>
        <w:tc>
          <w:tcPr>
            <w:tcW w:type="dxa" w:w="1200"/>
            <w:vAlign w:val="top"/>
            <w:tcMar>
              <w:top w:w="80" w:type="dxa"/>
              <w:start w:w="120" w:type="dxa"/>
              <w:bottom w:w="80" w:type="dxa"/>
              <w:end w:w="120" w:type="dxa"/>
            </w:tcMar>
          </w:tcPr>
          <w:p>
            <w:pPr>
              <w:spacing w:after="0" w:line="240" w:lineRule="auto"/>
            </w:pPr>
            <w:r>
              <w:rPr>
                <w:rFonts w:ascii="Calibri" w:hAnsi="Calibri"/>
                <w:b w:val="0"/>
                <w:i w:val="0"/>
                <w:color w:val="000000"/>
                <w:sz w:val="16"/>
              </w:rPr>
              <w:t>PRV-008</w:t>
            </w:r>
          </w:p>
        </w:tc>
        <w:tc>
          <w:tcPr>
            <w:tcW w:type="dxa" w:w="4200"/>
            <w:vAlign w:val="top"/>
            <w:tcMar>
              <w:top w:w="80" w:type="dxa"/>
              <w:start w:w="120" w:type="dxa"/>
              <w:bottom w:w="80" w:type="dxa"/>
              <w:end w:w="120" w:type="dxa"/>
            </w:tcMar>
          </w:tcPr>
          <w:p>
            <w:pPr>
              <w:spacing w:after="0" w:line="240" w:lineRule="auto"/>
            </w:pPr>
            <w:r>
              <w:rPr>
                <w:rFonts w:ascii="Calibri" w:hAnsi="Calibri"/>
                <w:b w:val="0"/>
                <w:i w:val="0"/>
                <w:color w:val="000000"/>
                <w:sz w:val="16"/>
              </w:rPr>
              <w:t>Hidden adoption/dispute edge could be inferred by Nata/Saino</w:t>
            </w:r>
          </w:p>
        </w:tc>
        <w:tc>
          <w:tcPr>
            <w:tcW w:type="dxa" w:w="3960"/>
            <w:vAlign w:val="top"/>
            <w:tcMar>
              <w:top w:w="80" w:type="dxa"/>
              <w:start w:w="120" w:type="dxa"/>
              <w:bottom w:w="80" w:type="dxa"/>
              <w:end w:w="120" w:type="dxa"/>
            </w:tcMar>
          </w:tcPr>
          <w:p>
            <w:pPr>
              <w:spacing w:after="0" w:line="240" w:lineRule="auto"/>
            </w:pPr>
            <w:r>
              <w:rPr>
                <w:rFonts w:ascii="Calibri" w:hAnsi="Calibri"/>
                <w:b w:val="0"/>
                <w:i w:val="0"/>
                <w:color w:val="000000"/>
                <w:sz w:val="16"/>
              </w:rPr>
              <w:t>Do not reveal hidden edge or derived sensitive term</w:t>
            </w:r>
          </w:p>
        </w:tc>
      </w:tr>
      <w:tr>
        <w:tc>
          <w:tcPr>
            <w:tcW w:type="dxa" w:w="1200"/>
            <w:vAlign w:val="top"/>
            <w:tcMar>
              <w:top w:w="80" w:type="dxa"/>
              <w:start w:w="120" w:type="dxa"/>
              <w:bottom w:w="80" w:type="dxa"/>
              <w:end w:w="120" w:type="dxa"/>
            </w:tcMar>
          </w:tcPr>
          <w:p>
            <w:pPr>
              <w:spacing w:after="0" w:line="240" w:lineRule="auto"/>
            </w:pPr>
            <w:r>
              <w:rPr>
                <w:rFonts w:ascii="Calibri" w:hAnsi="Calibri"/>
                <w:b w:val="0"/>
                <w:i w:val="0"/>
                <w:color w:val="000000"/>
                <w:sz w:val="16"/>
              </w:rPr>
              <w:t>PRV-009</w:t>
            </w:r>
          </w:p>
        </w:tc>
        <w:tc>
          <w:tcPr>
            <w:tcW w:type="dxa" w:w="4200"/>
            <w:vAlign w:val="top"/>
            <w:tcMar>
              <w:top w:w="80" w:type="dxa"/>
              <w:start w:w="120" w:type="dxa"/>
              <w:bottom w:w="80" w:type="dxa"/>
              <w:end w:w="120" w:type="dxa"/>
            </w:tcMar>
          </w:tcPr>
          <w:p>
            <w:pPr>
              <w:spacing w:after="0" w:line="240" w:lineRule="auto"/>
            </w:pPr>
            <w:r>
              <w:rPr>
                <w:rFonts w:ascii="Calibri" w:hAnsi="Calibri"/>
                <w:b w:val="0"/>
                <w:i w:val="0"/>
                <w:color w:val="000000"/>
                <w:sz w:val="16"/>
              </w:rPr>
              <w:t>Backup restored after a deletion</w:t>
            </w:r>
          </w:p>
        </w:tc>
        <w:tc>
          <w:tcPr>
            <w:tcW w:type="dxa" w:w="3960"/>
            <w:vAlign w:val="top"/>
            <w:tcMar>
              <w:top w:w="80" w:type="dxa"/>
              <w:start w:w="120" w:type="dxa"/>
              <w:bottom w:w="80" w:type="dxa"/>
              <w:end w:w="120" w:type="dxa"/>
            </w:tcMar>
          </w:tcPr>
          <w:p>
            <w:pPr>
              <w:spacing w:after="0" w:line="240" w:lineRule="auto"/>
            </w:pPr>
            <w:r>
              <w:rPr>
                <w:rFonts w:ascii="Calibri" w:hAnsi="Calibri"/>
                <w:b w:val="0"/>
                <w:i w:val="0"/>
                <w:color w:val="000000"/>
                <w:sz w:val="16"/>
              </w:rPr>
              <w:t>Deletion tombstone/reconciliation prevents data from returning to active service</w:t>
            </w:r>
          </w:p>
        </w:tc>
      </w:tr>
      <w:tr>
        <w:tc>
          <w:tcPr>
            <w:tcW w:type="dxa" w:w="1200"/>
            <w:vAlign w:val="top"/>
            <w:tcMar>
              <w:top w:w="80" w:type="dxa"/>
              <w:start w:w="120" w:type="dxa"/>
              <w:bottom w:w="80" w:type="dxa"/>
              <w:end w:w="120" w:type="dxa"/>
            </w:tcMar>
          </w:tcPr>
          <w:p>
            <w:pPr>
              <w:spacing w:after="0" w:line="240" w:lineRule="auto"/>
            </w:pPr>
            <w:r>
              <w:rPr>
                <w:rFonts w:ascii="Calibri" w:hAnsi="Calibri"/>
                <w:b w:val="0"/>
                <w:i w:val="0"/>
                <w:color w:val="000000"/>
                <w:sz w:val="16"/>
              </w:rPr>
              <w:t>PRV-010</w:t>
            </w:r>
          </w:p>
        </w:tc>
        <w:tc>
          <w:tcPr>
            <w:tcW w:type="dxa" w:w="4200"/>
            <w:vAlign w:val="top"/>
            <w:tcMar>
              <w:top w:w="80" w:type="dxa"/>
              <w:start w:w="120" w:type="dxa"/>
              <w:bottom w:w="80" w:type="dxa"/>
              <w:end w:w="120" w:type="dxa"/>
            </w:tcMar>
          </w:tcPr>
          <w:p>
            <w:pPr>
              <w:spacing w:after="0" w:line="240" w:lineRule="auto"/>
            </w:pPr>
            <w:r>
              <w:rPr>
                <w:rFonts w:ascii="Calibri" w:hAnsi="Calibri"/>
                <w:b w:val="0"/>
                <w:i w:val="0"/>
                <w:color w:val="000000"/>
                <w:sz w:val="16"/>
              </w:rPr>
              <w:t>Support opens a sensitive record without assigned case</w:t>
            </w:r>
          </w:p>
        </w:tc>
        <w:tc>
          <w:tcPr>
            <w:tcW w:type="dxa" w:w="3960"/>
            <w:vAlign w:val="top"/>
            <w:tcMar>
              <w:top w:w="80" w:type="dxa"/>
              <w:start w:w="120" w:type="dxa"/>
              <w:bottom w:w="80" w:type="dxa"/>
              <w:end w:w="120" w:type="dxa"/>
            </w:tcMar>
          </w:tcPr>
          <w:p>
            <w:pPr>
              <w:spacing w:after="0" w:line="240" w:lineRule="auto"/>
            </w:pPr>
            <w:r>
              <w:rPr>
                <w:rFonts w:ascii="Calibri" w:hAnsi="Calibri"/>
                <w:b w:val="0"/>
                <w:i w:val="0"/>
                <w:color w:val="000000"/>
                <w:sz w:val="16"/>
              </w:rPr>
              <w:t>Access denied and flagged</w:t>
            </w:r>
          </w:p>
        </w:tc>
      </w:tr>
      <w:tr>
        <w:tc>
          <w:tcPr>
            <w:tcW w:type="dxa" w:w="1200"/>
            <w:vAlign w:val="top"/>
            <w:tcMar>
              <w:top w:w="80" w:type="dxa"/>
              <w:start w:w="120" w:type="dxa"/>
              <w:bottom w:w="80" w:type="dxa"/>
              <w:end w:w="120" w:type="dxa"/>
            </w:tcMar>
          </w:tcPr>
          <w:p>
            <w:pPr>
              <w:spacing w:after="0" w:line="240" w:lineRule="auto"/>
            </w:pPr>
            <w:r>
              <w:rPr>
                <w:rFonts w:ascii="Calibri" w:hAnsi="Calibri"/>
                <w:b w:val="0"/>
                <w:i w:val="0"/>
                <w:color w:val="000000"/>
                <w:sz w:val="16"/>
              </w:rPr>
              <w:t>PRV-011</w:t>
            </w:r>
          </w:p>
        </w:tc>
        <w:tc>
          <w:tcPr>
            <w:tcW w:type="dxa" w:w="4200"/>
            <w:vAlign w:val="top"/>
            <w:tcMar>
              <w:top w:w="80" w:type="dxa"/>
              <w:start w:w="120" w:type="dxa"/>
              <w:bottom w:w="80" w:type="dxa"/>
              <w:end w:w="120" w:type="dxa"/>
            </w:tcMar>
          </w:tcPr>
          <w:p>
            <w:pPr>
              <w:spacing w:after="0" w:line="240" w:lineRule="auto"/>
            </w:pPr>
            <w:r>
              <w:rPr>
                <w:rFonts w:ascii="Calibri" w:hAnsi="Calibri"/>
                <w:b w:val="0"/>
                <w:i w:val="0"/>
                <w:color w:val="000000"/>
                <w:sz w:val="16"/>
              </w:rPr>
              <w:t>Processor termination</w:t>
            </w:r>
          </w:p>
        </w:tc>
        <w:tc>
          <w:tcPr>
            <w:tcW w:type="dxa" w:w="3960"/>
            <w:vAlign w:val="top"/>
            <w:tcMar>
              <w:top w:w="80" w:type="dxa"/>
              <w:start w:w="120" w:type="dxa"/>
              <w:bottom w:w="80" w:type="dxa"/>
              <w:end w:w="120" w:type="dxa"/>
            </w:tcMar>
          </w:tcPr>
          <w:p>
            <w:pPr>
              <w:spacing w:after="0" w:line="240" w:lineRule="auto"/>
            </w:pPr>
            <w:r>
              <w:rPr>
                <w:rFonts w:ascii="Calibri" w:hAnsi="Calibri"/>
                <w:b w:val="0"/>
                <w:i w:val="0"/>
                <w:color w:val="000000"/>
                <w:sz w:val="16"/>
              </w:rPr>
              <w:t>Export required data; delete/return copies; obtain attestation</w:t>
            </w:r>
          </w:p>
        </w:tc>
      </w:tr>
      <w:tr>
        <w:tc>
          <w:tcPr>
            <w:tcW w:type="dxa" w:w="1200"/>
            <w:vAlign w:val="top"/>
            <w:tcMar>
              <w:top w:w="80" w:type="dxa"/>
              <w:start w:w="120" w:type="dxa"/>
              <w:bottom w:w="80" w:type="dxa"/>
              <w:end w:w="120" w:type="dxa"/>
            </w:tcMar>
          </w:tcPr>
          <w:p>
            <w:pPr>
              <w:spacing w:after="0" w:line="240" w:lineRule="auto"/>
            </w:pPr>
            <w:r>
              <w:rPr>
                <w:rFonts w:ascii="Calibri" w:hAnsi="Calibri"/>
                <w:b w:val="0"/>
                <w:i w:val="0"/>
                <w:color w:val="000000"/>
                <w:sz w:val="16"/>
              </w:rPr>
              <w:t>PRV-012</w:t>
            </w:r>
          </w:p>
        </w:tc>
        <w:tc>
          <w:tcPr>
            <w:tcW w:type="dxa" w:w="4200"/>
            <w:vAlign w:val="top"/>
            <w:tcMar>
              <w:top w:w="80" w:type="dxa"/>
              <w:start w:w="120" w:type="dxa"/>
              <w:bottom w:w="80" w:type="dxa"/>
              <w:end w:w="120" w:type="dxa"/>
            </w:tcMar>
          </w:tcPr>
          <w:p>
            <w:pPr>
              <w:spacing w:after="0" w:line="240" w:lineRule="auto"/>
            </w:pPr>
            <w:r>
              <w:rPr>
                <w:rFonts w:ascii="Calibri" w:hAnsi="Calibri"/>
                <w:b w:val="0"/>
                <w:i w:val="0"/>
                <w:color w:val="000000"/>
                <w:sz w:val="16"/>
              </w:rPr>
              <w:t>Crash contains message/contact value</w:t>
            </w:r>
          </w:p>
        </w:tc>
        <w:tc>
          <w:tcPr>
            <w:tcW w:type="dxa" w:w="3960"/>
            <w:vAlign w:val="top"/>
            <w:tcMar>
              <w:top w:w="80" w:type="dxa"/>
              <w:start w:w="120" w:type="dxa"/>
              <w:bottom w:w="80" w:type="dxa"/>
              <w:end w:w="120" w:type="dxa"/>
            </w:tcMar>
          </w:tcPr>
          <w:p>
            <w:pPr>
              <w:spacing w:after="0" w:line="240" w:lineRule="auto"/>
            </w:pPr>
            <w:r>
              <w:rPr>
                <w:rFonts w:ascii="Calibri" w:hAnsi="Calibri"/>
                <w:b w:val="0"/>
                <w:i w:val="0"/>
                <w:color w:val="000000"/>
                <w:sz w:val="16"/>
              </w:rPr>
              <w:t>Redaction prevents sensitive payload from entering diagnostics</w:t>
            </w:r>
          </w:p>
        </w:tc>
      </w:tr>
    </w:tbl>
    <w:p>
      <w:pPr>
        <w:spacing w:after="0"/>
      </w:pPr>
    </w:p>
    <w:p>
      <w:pPr>
        <w:pStyle w:val="Heading1"/>
      </w:pPr>
      <w:r>
        <w:t>20. Launch compliance checklist</w:t>
      </w:r>
    </w:p>
    <w:p>
      <w:pPr>
        <w:pStyle w:val="ListBullet"/>
        <w:spacing w:after="80" w:line="280" w:lineRule="auto"/>
        <w:ind w:left="720" w:hanging="360"/>
      </w:pPr>
      <w:r>
        <w:rPr>
          <w:rFonts w:ascii="Calibri" w:hAnsi="Calibri"/>
          <w:b w:val="0"/>
          <w:i w:val="0"/>
          <w:color w:val="000000"/>
          <w:sz w:val="22"/>
        </w:rPr>
        <w:t>☐ Legal entity, privacy contact and complaint channel are named.</w:t>
      </w:r>
    </w:p>
    <w:p>
      <w:pPr>
        <w:pStyle w:val="ListBullet"/>
        <w:spacing w:after="80" w:line="280" w:lineRule="auto"/>
        <w:ind w:left="720" w:hanging="360"/>
      </w:pPr>
      <w:r>
        <w:rPr>
          <w:rFonts w:ascii="Calibri" w:hAnsi="Calibri"/>
          <w:b w:val="0"/>
          <w:i w:val="0"/>
          <w:color w:val="000000"/>
          <w:sz w:val="22"/>
        </w:rPr>
        <w:t>☐ Nepal-qualified counsel approves the legal register, children model, retention schedule, cross-border arrangements and notice.</w:t>
      </w:r>
    </w:p>
    <w:p>
      <w:pPr>
        <w:pStyle w:val="ListBullet"/>
        <w:spacing w:after="80" w:line="280" w:lineRule="auto"/>
        <w:ind w:left="720" w:hanging="360"/>
      </w:pPr>
      <w:r>
        <w:rPr>
          <w:rFonts w:ascii="Calibri" w:hAnsi="Calibri"/>
          <w:b w:val="0"/>
          <w:i w:val="0"/>
          <w:color w:val="000000"/>
          <w:sz w:val="22"/>
        </w:rPr>
        <w:t>☐ Data inventory and current data-flow diagram cover every app, API, admin tool, SDK, processor, log and backup.</w:t>
      </w:r>
    </w:p>
    <w:p>
      <w:pPr>
        <w:pStyle w:val="ListBullet"/>
        <w:spacing w:after="80" w:line="280" w:lineRule="auto"/>
        <w:ind w:left="720" w:hanging="360"/>
      </w:pPr>
      <w:r>
        <w:rPr>
          <w:rFonts w:ascii="Calibri" w:hAnsi="Calibri"/>
          <w:b w:val="0"/>
          <w:i w:val="0"/>
          <w:color w:val="000000"/>
          <w:sz w:val="22"/>
        </w:rPr>
        <w:t>☐ DPIA is approved for genealogy, relationship inference, minor data, map/location, messaging and moderation.</w:t>
      </w:r>
    </w:p>
    <w:p>
      <w:pPr>
        <w:pStyle w:val="ListBullet"/>
        <w:spacing w:after="80" w:line="280" w:lineRule="auto"/>
        <w:ind w:left="720" w:hanging="360"/>
      </w:pPr>
      <w:r>
        <w:rPr>
          <w:rFonts w:ascii="Calibri" w:hAnsi="Calibri"/>
          <w:b w:val="0"/>
          <w:i w:val="0"/>
          <w:color w:val="000000"/>
          <w:sz w:val="22"/>
        </w:rPr>
        <w:t>☐ In-app privacy notice, consent controls, access/correction and deletion are tested in Nepali and English.</w:t>
      </w:r>
    </w:p>
    <w:p>
      <w:pPr>
        <w:pStyle w:val="ListBullet"/>
        <w:spacing w:after="80" w:line="280" w:lineRule="auto"/>
        <w:ind w:left="720" w:hanging="360"/>
      </w:pPr>
      <w:r>
        <w:rPr>
          <w:rFonts w:ascii="Calibri" w:hAnsi="Calibri"/>
          <w:b w:val="0"/>
          <w:i w:val="0"/>
          <w:color w:val="000000"/>
          <w:sz w:val="22"/>
        </w:rPr>
        <w:t>☐ Public web account-deletion route is live and functional.</w:t>
      </w:r>
    </w:p>
    <w:p>
      <w:pPr>
        <w:pStyle w:val="ListBullet"/>
        <w:spacing w:after="80" w:line="280" w:lineRule="auto"/>
        <w:ind w:left="720" w:hanging="360"/>
      </w:pPr>
      <w:r>
        <w:rPr>
          <w:rFonts w:ascii="Calibri" w:hAnsi="Calibri"/>
          <w:b w:val="0"/>
          <w:i w:val="0"/>
          <w:color w:val="000000"/>
          <w:sz w:val="22"/>
        </w:rPr>
        <w:t>☐ Google Play Data Safety and Apple App Privacy declarations reconcile with actual code and processors.</w:t>
      </w:r>
    </w:p>
    <w:p>
      <w:pPr>
        <w:pStyle w:val="ListBullet"/>
        <w:spacing w:after="80" w:line="280" w:lineRule="auto"/>
        <w:ind w:left="720" w:hanging="360"/>
      </w:pPr>
      <w:r>
        <w:rPr>
          <w:rFonts w:ascii="Calibri" w:hAnsi="Calibri"/>
          <w:b w:val="0"/>
          <w:i w:val="0"/>
          <w:color w:val="000000"/>
          <w:sz w:val="22"/>
        </w:rPr>
        <w:t>☐ Role/branch permissions, MFA, recusal, break-glass access and immutable audit are tested.</w:t>
      </w:r>
    </w:p>
    <w:p>
      <w:pPr>
        <w:pStyle w:val="ListBullet"/>
        <w:spacing w:after="80" w:line="280" w:lineRule="auto"/>
        <w:ind w:left="720" w:hanging="360"/>
      </w:pPr>
      <w:r>
        <w:rPr>
          <w:rFonts w:ascii="Calibri" w:hAnsi="Calibri"/>
          <w:b w:val="0"/>
          <w:i w:val="0"/>
          <w:color w:val="000000"/>
          <w:sz w:val="22"/>
        </w:rPr>
        <w:t>☐ Retention jobs, processor deletion and backup expiry are automated and monitored.</w:t>
      </w:r>
    </w:p>
    <w:p>
      <w:pPr>
        <w:pStyle w:val="ListBullet"/>
        <w:spacing w:after="80" w:line="280" w:lineRule="auto"/>
        <w:ind w:left="720" w:hanging="360"/>
      </w:pPr>
      <w:r>
        <w:rPr>
          <w:rFonts w:ascii="Calibri" w:hAnsi="Calibri"/>
          <w:b w:val="0"/>
          <w:i w:val="0"/>
          <w:color w:val="000000"/>
          <w:sz w:val="22"/>
        </w:rPr>
        <w:t>☐ Incident response contacts, templates and tabletop exercise are complete.</w:t>
      </w:r>
    </w:p>
    <w:p>
      <w:pPr>
        <w:pStyle w:val="ListBullet"/>
        <w:spacing w:after="80" w:line="280" w:lineRule="auto"/>
        <w:ind w:left="720" w:hanging="360"/>
      </w:pPr>
      <w:r>
        <w:rPr>
          <w:rFonts w:ascii="Calibri" w:hAnsi="Calibri"/>
          <w:b w:val="0"/>
          <w:i w:val="0"/>
          <w:color w:val="000000"/>
          <w:sz w:val="22"/>
        </w:rPr>
        <w:t>☐ No real member data exists in development, demonstration or unmanaged spreadsheets.</w:t>
      </w:r>
    </w:p>
    <w:p>
      <w:pPr>
        <w:pStyle w:val="ListBullet"/>
        <w:spacing w:after="80" w:line="280" w:lineRule="auto"/>
        <w:ind w:left="720" w:hanging="360"/>
      </w:pPr>
      <w:r>
        <w:rPr>
          <w:rFonts w:ascii="Calibri" w:hAnsi="Calibri"/>
          <w:b w:val="0"/>
          <w:i w:val="0"/>
          <w:color w:val="000000"/>
          <w:sz w:val="22"/>
        </w:rPr>
        <w:t>☐ Governing Board records formal approval and effective date.</w:t>
      </w:r>
    </w:p>
    <w:p>
      <w:pPr>
        <w:pStyle w:val="Heading1"/>
      </w:pPr>
      <w:r>
        <w:t>Appendix A. Legal-review questions</w:t>
      </w:r>
    </w:p>
    <w:p>
      <w:pPr>
        <w:pStyle w:val="ListBullet"/>
        <w:spacing w:after="80" w:line="280" w:lineRule="auto"/>
        <w:ind w:left="720" w:hanging="360"/>
      </w:pPr>
      <w:r>
        <w:rPr>
          <w:rFonts w:ascii="Calibri" w:hAnsi="Calibri"/>
          <w:b w:val="0"/>
          <w:i w:val="0"/>
          <w:color w:val="000000"/>
          <w:sz w:val="22"/>
        </w:rPr>
        <w:t>What is the exact legal status and accountable entity of the platform operator?</w:t>
      </w:r>
    </w:p>
    <w:p>
      <w:pPr>
        <w:pStyle w:val="ListBullet"/>
        <w:spacing w:after="80" w:line="280" w:lineRule="auto"/>
        <w:ind w:left="720" w:hanging="360"/>
      </w:pPr>
      <w:r>
        <w:rPr>
          <w:rFonts w:ascii="Calibri" w:hAnsi="Calibri"/>
          <w:b w:val="0"/>
          <w:i w:val="0"/>
          <w:color w:val="000000"/>
          <w:sz w:val="22"/>
        </w:rPr>
        <w:t>Which Privacy Act provisions apply to each category of data and each disclosure?</w:t>
      </w:r>
    </w:p>
    <w:p>
      <w:pPr>
        <w:pStyle w:val="ListBullet"/>
        <w:spacing w:after="80" w:line="280" w:lineRule="auto"/>
        <w:ind w:left="720" w:hanging="360"/>
      </w:pPr>
      <w:r>
        <w:rPr>
          <w:rFonts w:ascii="Calibri" w:hAnsi="Calibri"/>
          <w:b w:val="0"/>
          <w:i w:val="0"/>
          <w:color w:val="000000"/>
          <w:sz w:val="22"/>
        </w:rPr>
        <w:t>What consent/guardian verification is required for minors and what age thresholds apply?</w:t>
      </w:r>
    </w:p>
    <w:p>
      <w:pPr>
        <w:pStyle w:val="ListBullet"/>
        <w:spacing w:after="80" w:line="280" w:lineRule="auto"/>
        <w:ind w:left="720" w:hanging="360"/>
      </w:pPr>
      <w:r>
        <w:rPr>
          <w:rFonts w:ascii="Calibri" w:hAnsi="Calibri"/>
          <w:b w:val="0"/>
          <w:i w:val="0"/>
          <w:color w:val="000000"/>
          <w:sz w:val="22"/>
        </w:rPr>
        <w:t>What rights, response periods, exceptions and complaint routes are legally required?</w:t>
      </w:r>
    </w:p>
    <w:p>
      <w:pPr>
        <w:pStyle w:val="ListBullet"/>
        <w:spacing w:after="80" w:line="280" w:lineRule="auto"/>
        <w:ind w:left="720" w:hanging="360"/>
      </w:pPr>
      <w:r>
        <w:rPr>
          <w:rFonts w:ascii="Calibri" w:hAnsi="Calibri"/>
          <w:b w:val="0"/>
          <w:i w:val="0"/>
          <w:color w:val="000000"/>
          <w:sz w:val="22"/>
        </w:rPr>
        <w:t>What obligations apply to data about deceased persons and living relatives?</w:t>
      </w:r>
    </w:p>
    <w:p>
      <w:pPr>
        <w:pStyle w:val="ListBullet"/>
        <w:spacing w:after="80" w:line="280" w:lineRule="auto"/>
        <w:ind w:left="720" w:hanging="360"/>
      </w:pPr>
      <w:r>
        <w:rPr>
          <w:rFonts w:ascii="Calibri" w:hAnsi="Calibri"/>
          <w:b w:val="0"/>
          <w:i w:val="0"/>
          <w:color w:val="000000"/>
          <w:sz w:val="22"/>
        </w:rPr>
        <w:t>When can genealogy data remain after account deletion, and in what minimized/anonymized form?</w:t>
      </w:r>
    </w:p>
    <w:p>
      <w:pPr>
        <w:pStyle w:val="ListBullet"/>
        <w:spacing w:after="80" w:line="280" w:lineRule="auto"/>
        <w:ind w:left="720" w:hanging="360"/>
      </w:pPr>
      <w:r>
        <w:rPr>
          <w:rFonts w:ascii="Calibri" w:hAnsi="Calibri"/>
          <w:b w:val="0"/>
          <w:i w:val="0"/>
          <w:color w:val="000000"/>
          <w:sz w:val="22"/>
        </w:rPr>
        <w:t>What conditions apply to hosting, support or processors outside Nepal?</w:t>
      </w:r>
    </w:p>
    <w:p>
      <w:pPr>
        <w:pStyle w:val="ListBullet"/>
        <w:spacing w:after="80" w:line="280" w:lineRule="auto"/>
        <w:ind w:left="720" w:hanging="360"/>
      </w:pPr>
      <w:r>
        <w:rPr>
          <w:rFonts w:ascii="Calibri" w:hAnsi="Calibri"/>
          <w:b w:val="0"/>
          <w:i w:val="0"/>
          <w:color w:val="000000"/>
          <w:sz w:val="22"/>
        </w:rPr>
        <w:t>What security/privacy incidents require notification, to whom and within what period?</w:t>
      </w:r>
    </w:p>
    <w:p>
      <w:pPr>
        <w:pStyle w:val="ListBullet"/>
        <w:spacing w:after="80" w:line="280" w:lineRule="auto"/>
        <w:ind w:left="720" w:hanging="360"/>
      </w:pPr>
      <w:r>
        <w:rPr>
          <w:rFonts w:ascii="Calibri" w:hAnsi="Calibri"/>
          <w:b w:val="0"/>
          <w:i w:val="0"/>
          <w:color w:val="000000"/>
          <w:sz w:val="22"/>
        </w:rPr>
        <w:t>What limitation periods or statutory retention duties apply to consent, audit, finance and dispute records?</w:t>
      </w:r>
    </w:p>
    <w:p>
      <w:pPr>
        <w:pStyle w:val="ListBullet"/>
        <w:spacing w:after="80" w:line="280" w:lineRule="auto"/>
        <w:ind w:left="720" w:hanging="360"/>
      </w:pPr>
      <w:r>
        <w:rPr>
          <w:rFonts w:ascii="Calibri" w:hAnsi="Calibri"/>
          <w:b w:val="0"/>
          <w:i w:val="0"/>
          <w:color w:val="000000"/>
          <w:sz w:val="22"/>
        </w:rPr>
        <w:t>Are electronic acceptance, signatures and records sufficient for the planned workflows?</w:t>
      </w:r>
    </w:p>
    <w:p>
      <w:pPr>
        <w:pStyle w:val="ListBullet"/>
        <w:spacing w:after="80" w:line="280" w:lineRule="auto"/>
        <w:ind w:left="720" w:hanging="360"/>
      </w:pPr>
      <w:r>
        <w:rPr>
          <w:rFonts w:ascii="Calibri" w:hAnsi="Calibri"/>
          <w:b w:val="0"/>
          <w:i w:val="0"/>
          <w:color w:val="000000"/>
          <w:sz w:val="22"/>
        </w:rPr>
        <w:t>What wording is required in Nepali, and which language controls in a conflict?</w:t>
      </w:r>
    </w:p>
    <w:p>
      <w:pPr>
        <w:pStyle w:val="ListBullet"/>
        <w:spacing w:after="80" w:line="280" w:lineRule="auto"/>
        <w:ind w:left="720" w:hanging="360"/>
      </w:pPr>
      <w:r>
        <w:rPr>
          <w:rFonts w:ascii="Calibri" w:hAnsi="Calibri"/>
          <w:b w:val="0"/>
          <w:i w:val="0"/>
          <w:color w:val="000000"/>
          <w:sz w:val="22"/>
        </w:rPr>
        <w:t>What registrations, licenses, notices or regulator consultations are required before launch?</w:t>
      </w:r>
    </w:p>
    <w:p>
      <w:pPr>
        <w:pStyle w:val="Heading1"/>
      </w:pPr>
      <w:r>
        <w:t>Appendix B. Source register</w:t>
      </w:r>
    </w:p>
    <w:tbl>
      <w:tblPr>
        <w:tblStyle w:val="TableGrid"/>
        <w:tblW w:type="dxa" w:w="9360"/>
        <w:tblLayout w:type="fixed"/>
        <w:tblLook w:firstColumn="1" w:firstRow="1" w:lastColumn="0" w:lastRow="0" w:noHBand="0" w:noVBand="1" w:val="04A0"/>
        <w:jc w:val="left"/>
        <w:tblInd w:w="120" w:type="dxa"/>
        <w:tblInd w:w="120" w:type="dxa"/>
      </w:tblPr>
      <w:tblGrid>
        <w:gridCol w:w="2800"/>
        <w:gridCol w:w="3860"/>
        <w:gridCol w:w="2700"/>
      </w:tblGrid>
      <w:tr>
        <w:trPr>
          <w:tblHeader w:val="true"/>
        </w:trPr>
        <w:tc>
          <w:tcPr>
            <w:tcW w:type="dxa" w:w="2800"/>
            <w:vAlign w:val="top"/>
            <w:tcMar>
              <w:top w:w="80" w:type="dxa"/>
              <w:start w:w="120" w:type="dxa"/>
              <w:bottom w:w="80" w:type="dxa"/>
              <w:end w:w="120" w:type="dxa"/>
            </w:tcMar>
            <w:shd w:fill="E8EEF5"/>
          </w:tcPr>
          <w:p>
            <w:pPr>
              <w:spacing w:after="0"/>
            </w:pPr>
            <w:r>
              <w:rPr>
                <w:rFonts w:ascii="Calibri" w:hAnsi="Calibri"/>
                <w:b/>
                <w:i w:val="0"/>
                <w:color w:val="17365D"/>
                <w:sz w:val="15"/>
              </w:rPr>
              <w:t>Source</w:t>
            </w:r>
          </w:p>
        </w:tc>
        <w:tc>
          <w:tcPr>
            <w:tcW w:type="dxa" w:w="3860"/>
            <w:vAlign w:val="top"/>
            <w:tcMar>
              <w:top w:w="80" w:type="dxa"/>
              <w:start w:w="120" w:type="dxa"/>
              <w:bottom w:w="80" w:type="dxa"/>
              <w:end w:w="120" w:type="dxa"/>
            </w:tcMar>
            <w:shd w:fill="E8EEF5"/>
          </w:tcPr>
          <w:p>
            <w:pPr>
              <w:spacing w:after="0"/>
            </w:pPr>
            <w:r>
              <w:rPr>
                <w:rFonts w:ascii="Calibri" w:hAnsi="Calibri"/>
                <w:b/>
                <w:i w:val="0"/>
                <w:color w:val="17365D"/>
                <w:sz w:val="15"/>
              </w:rPr>
              <w:t>URL</w:t>
            </w:r>
          </w:p>
        </w:tc>
        <w:tc>
          <w:tcPr>
            <w:tcW w:type="dxa" w:w="2700"/>
            <w:vAlign w:val="top"/>
            <w:tcMar>
              <w:top w:w="80" w:type="dxa"/>
              <w:start w:w="120" w:type="dxa"/>
              <w:bottom w:w="80" w:type="dxa"/>
              <w:end w:w="120" w:type="dxa"/>
            </w:tcMar>
            <w:shd w:fill="E8EEF5"/>
          </w:tcPr>
          <w:p>
            <w:pPr>
              <w:spacing w:after="0"/>
            </w:pPr>
            <w:r>
              <w:rPr>
                <w:rFonts w:ascii="Calibri" w:hAnsi="Calibri"/>
                <w:b/>
                <w:i w:val="0"/>
                <w:color w:val="17365D"/>
                <w:sz w:val="15"/>
              </w:rPr>
              <w:t>Use / limitation</w:t>
            </w:r>
          </w:p>
        </w:tc>
      </w:tr>
      <w:tr>
        <w:tc>
          <w:tcPr>
            <w:tcW w:type="dxa" w:w="2800"/>
            <w:vAlign w:val="top"/>
            <w:tcMar>
              <w:top w:w="80" w:type="dxa"/>
              <w:start w:w="120" w:type="dxa"/>
              <w:bottom w:w="80" w:type="dxa"/>
              <w:end w:w="120" w:type="dxa"/>
            </w:tcMar>
          </w:tcPr>
          <w:p>
            <w:pPr>
              <w:spacing w:after="0" w:line="240" w:lineRule="auto"/>
            </w:pPr>
            <w:r>
              <w:rPr>
                <w:rFonts w:ascii="Calibri" w:hAnsi="Calibri"/>
                <w:b w:val="0"/>
                <w:i w:val="0"/>
                <w:color w:val="000000"/>
                <w:sz w:val="15"/>
              </w:rPr>
              <w:t>Nepal Law Commission - Privacy Act, 2075</w:t>
            </w:r>
          </w:p>
        </w:tc>
        <w:tc>
          <w:tcPr>
            <w:tcW w:type="dxa" w:w="3860"/>
            <w:vAlign w:val="top"/>
            <w:tcMar>
              <w:top w:w="80" w:type="dxa"/>
              <w:start w:w="120" w:type="dxa"/>
              <w:bottom w:w="80" w:type="dxa"/>
              <w:end w:w="120" w:type="dxa"/>
            </w:tcMar>
          </w:tcPr>
          <w:p>
            <w:pPr>
              <w:spacing w:after="0" w:line="240" w:lineRule="auto"/>
            </w:pPr>
            <w:r>
              <w:rPr>
                <w:rFonts w:ascii="Calibri" w:hAnsi="Calibri"/>
                <w:b w:val="0"/>
                <w:i w:val="0"/>
                <w:color w:val="000000"/>
                <w:sz w:val="15"/>
              </w:rPr>
              <w:t>https://lawcommission.gov.np/content/12261/12261-the-privacy-act-2075/</w:t>
            </w:r>
          </w:p>
        </w:tc>
        <w:tc>
          <w:tcPr>
            <w:tcW w:type="dxa" w:w="2700"/>
            <w:vAlign w:val="top"/>
            <w:tcMar>
              <w:top w:w="80" w:type="dxa"/>
              <w:start w:w="120" w:type="dxa"/>
              <w:bottom w:w="80" w:type="dxa"/>
              <w:end w:w="120" w:type="dxa"/>
            </w:tcMar>
          </w:tcPr>
          <w:p>
            <w:pPr>
              <w:spacing w:after="0" w:line="240" w:lineRule="auto"/>
            </w:pPr>
            <w:r>
              <w:rPr>
                <w:rFonts w:ascii="Calibri" w:hAnsi="Calibri"/>
                <w:b w:val="0"/>
                <w:i w:val="0"/>
                <w:color w:val="000000"/>
                <w:sz w:val="15"/>
              </w:rPr>
              <w:t>Primary legal text; counsel to validate current consolidated version.</w:t>
            </w:r>
          </w:p>
        </w:tc>
      </w:tr>
      <w:tr>
        <w:tc>
          <w:tcPr>
            <w:tcW w:type="dxa" w:w="2800"/>
            <w:vAlign w:val="top"/>
            <w:tcMar>
              <w:top w:w="80" w:type="dxa"/>
              <w:start w:w="120" w:type="dxa"/>
              <w:bottom w:w="80" w:type="dxa"/>
              <w:end w:w="120" w:type="dxa"/>
            </w:tcMar>
          </w:tcPr>
          <w:p>
            <w:pPr>
              <w:spacing w:after="0" w:line="240" w:lineRule="auto"/>
            </w:pPr>
            <w:r>
              <w:rPr>
                <w:rFonts w:ascii="Calibri" w:hAnsi="Calibri"/>
                <w:b w:val="0"/>
                <w:i w:val="0"/>
                <w:color w:val="000000"/>
                <w:sz w:val="15"/>
              </w:rPr>
              <w:t>Nepal Law Commission - Electronic Transactions Act, 2063</w:t>
            </w:r>
          </w:p>
        </w:tc>
        <w:tc>
          <w:tcPr>
            <w:tcW w:type="dxa" w:w="3860"/>
            <w:vAlign w:val="top"/>
            <w:tcMar>
              <w:top w:w="80" w:type="dxa"/>
              <w:start w:w="120" w:type="dxa"/>
              <w:bottom w:w="80" w:type="dxa"/>
              <w:end w:w="120" w:type="dxa"/>
            </w:tcMar>
          </w:tcPr>
          <w:p>
            <w:pPr>
              <w:spacing w:after="0" w:line="240" w:lineRule="auto"/>
            </w:pPr>
            <w:r>
              <w:rPr>
                <w:rFonts w:ascii="Calibri" w:hAnsi="Calibri"/>
                <w:b w:val="0"/>
                <w:i w:val="0"/>
                <w:color w:val="000000"/>
                <w:sz w:val="15"/>
              </w:rPr>
              <w:t>https://lawcommission.gov.np/content/13397/</w:t>
            </w:r>
          </w:p>
        </w:tc>
        <w:tc>
          <w:tcPr>
            <w:tcW w:type="dxa" w:w="2700"/>
            <w:vAlign w:val="top"/>
            <w:tcMar>
              <w:top w:w="80" w:type="dxa"/>
              <w:start w:w="120" w:type="dxa"/>
              <w:bottom w:w="80" w:type="dxa"/>
              <w:end w:w="120" w:type="dxa"/>
            </w:tcMar>
          </w:tcPr>
          <w:p>
            <w:pPr>
              <w:spacing w:after="0" w:line="240" w:lineRule="auto"/>
            </w:pPr>
            <w:r>
              <w:rPr>
                <w:rFonts w:ascii="Calibri" w:hAnsi="Calibri"/>
                <w:b w:val="0"/>
                <w:i w:val="0"/>
                <w:color w:val="000000"/>
                <w:sz w:val="15"/>
              </w:rPr>
              <w:t>Primary legal text.</w:t>
            </w:r>
          </w:p>
        </w:tc>
      </w:tr>
      <w:tr>
        <w:tc>
          <w:tcPr>
            <w:tcW w:type="dxa" w:w="2800"/>
            <w:vAlign w:val="top"/>
            <w:tcMar>
              <w:top w:w="80" w:type="dxa"/>
              <w:start w:w="120" w:type="dxa"/>
              <w:bottom w:w="80" w:type="dxa"/>
              <w:end w:w="120" w:type="dxa"/>
            </w:tcMar>
          </w:tcPr>
          <w:p>
            <w:pPr>
              <w:spacing w:after="0" w:line="240" w:lineRule="auto"/>
            </w:pPr>
            <w:r>
              <w:rPr>
                <w:rFonts w:ascii="Calibri" w:hAnsi="Calibri"/>
                <w:b w:val="0"/>
                <w:i w:val="0"/>
                <w:color w:val="000000"/>
                <w:sz w:val="15"/>
              </w:rPr>
              <w:t>Nepal Law Commission - Electronic Transactions Rules, 2064</w:t>
            </w:r>
          </w:p>
        </w:tc>
        <w:tc>
          <w:tcPr>
            <w:tcW w:type="dxa" w:w="3860"/>
            <w:vAlign w:val="top"/>
            <w:tcMar>
              <w:top w:w="80" w:type="dxa"/>
              <w:start w:w="120" w:type="dxa"/>
              <w:bottom w:w="80" w:type="dxa"/>
              <w:end w:w="120" w:type="dxa"/>
            </w:tcMar>
          </w:tcPr>
          <w:p>
            <w:pPr>
              <w:spacing w:after="0" w:line="240" w:lineRule="auto"/>
            </w:pPr>
            <w:r>
              <w:rPr>
                <w:rFonts w:ascii="Calibri" w:hAnsi="Calibri"/>
                <w:b w:val="0"/>
                <w:i w:val="0"/>
                <w:color w:val="000000"/>
                <w:sz w:val="15"/>
              </w:rPr>
              <w:t>https://lawcommission.gov.np/content/12955/12955-electronic-transaction-regulat/</w:t>
            </w:r>
          </w:p>
        </w:tc>
        <w:tc>
          <w:tcPr>
            <w:tcW w:type="dxa" w:w="2700"/>
            <w:vAlign w:val="top"/>
            <w:tcMar>
              <w:top w:w="80" w:type="dxa"/>
              <w:start w:w="120" w:type="dxa"/>
              <w:bottom w:w="80" w:type="dxa"/>
              <w:end w:w="120" w:type="dxa"/>
            </w:tcMar>
          </w:tcPr>
          <w:p>
            <w:pPr>
              <w:spacing w:after="0" w:line="240" w:lineRule="auto"/>
            </w:pPr>
            <w:r>
              <w:rPr>
                <w:rFonts w:ascii="Calibri" w:hAnsi="Calibri"/>
                <w:b w:val="0"/>
                <w:i w:val="0"/>
                <w:color w:val="000000"/>
                <w:sz w:val="15"/>
              </w:rPr>
              <w:t>Primary rules.</w:t>
            </w:r>
          </w:p>
        </w:tc>
      </w:tr>
      <w:tr>
        <w:tc>
          <w:tcPr>
            <w:tcW w:type="dxa" w:w="2800"/>
            <w:vAlign w:val="top"/>
            <w:tcMar>
              <w:top w:w="80" w:type="dxa"/>
              <w:start w:w="120" w:type="dxa"/>
              <w:bottom w:w="80" w:type="dxa"/>
              <w:end w:w="120" w:type="dxa"/>
            </w:tcMar>
          </w:tcPr>
          <w:p>
            <w:pPr>
              <w:spacing w:after="0" w:line="240" w:lineRule="auto"/>
            </w:pPr>
            <w:r>
              <w:rPr>
                <w:rFonts w:ascii="Calibri" w:hAnsi="Calibri"/>
                <w:b w:val="0"/>
                <w:i w:val="0"/>
                <w:color w:val="000000"/>
                <w:sz w:val="15"/>
              </w:rPr>
              <w:t>Nepal Law Commission - Act Relating to Children, 2075</w:t>
            </w:r>
          </w:p>
        </w:tc>
        <w:tc>
          <w:tcPr>
            <w:tcW w:type="dxa" w:w="3860"/>
            <w:vAlign w:val="top"/>
            <w:tcMar>
              <w:top w:w="80" w:type="dxa"/>
              <w:start w:w="120" w:type="dxa"/>
              <w:bottom w:w="80" w:type="dxa"/>
              <w:end w:w="120" w:type="dxa"/>
            </w:tcMar>
          </w:tcPr>
          <w:p>
            <w:pPr>
              <w:spacing w:after="0" w:line="240" w:lineRule="auto"/>
            </w:pPr>
            <w:r>
              <w:rPr>
                <w:rFonts w:ascii="Calibri" w:hAnsi="Calibri"/>
                <w:b w:val="0"/>
                <w:i w:val="0"/>
                <w:color w:val="000000"/>
                <w:sz w:val="15"/>
              </w:rPr>
              <w:t>https://lawcommission.gov.np/content/12933/12933-the-act-relating-to-children/</w:t>
            </w:r>
          </w:p>
        </w:tc>
        <w:tc>
          <w:tcPr>
            <w:tcW w:type="dxa" w:w="2700"/>
            <w:vAlign w:val="top"/>
            <w:tcMar>
              <w:top w:w="80" w:type="dxa"/>
              <w:start w:w="120" w:type="dxa"/>
              <w:bottom w:w="80" w:type="dxa"/>
              <w:end w:w="120" w:type="dxa"/>
            </w:tcMar>
          </w:tcPr>
          <w:p>
            <w:pPr>
              <w:spacing w:after="0" w:line="240" w:lineRule="auto"/>
            </w:pPr>
            <w:r>
              <w:rPr>
                <w:rFonts w:ascii="Calibri" w:hAnsi="Calibri"/>
                <w:b w:val="0"/>
                <w:i w:val="0"/>
                <w:color w:val="000000"/>
                <w:sz w:val="15"/>
              </w:rPr>
              <w:t>Primary child-protection statute.</w:t>
            </w:r>
          </w:p>
        </w:tc>
      </w:tr>
      <w:tr>
        <w:tc>
          <w:tcPr>
            <w:tcW w:type="dxa" w:w="2800"/>
            <w:vAlign w:val="top"/>
            <w:tcMar>
              <w:top w:w="80" w:type="dxa"/>
              <w:start w:w="120" w:type="dxa"/>
              <w:bottom w:w="80" w:type="dxa"/>
              <w:end w:w="120" w:type="dxa"/>
            </w:tcMar>
          </w:tcPr>
          <w:p>
            <w:pPr>
              <w:spacing w:after="0" w:line="240" w:lineRule="auto"/>
            </w:pPr>
            <w:r>
              <w:rPr>
                <w:rFonts w:ascii="Calibri" w:hAnsi="Calibri"/>
                <w:b w:val="0"/>
                <w:i w:val="0"/>
                <w:color w:val="000000"/>
                <w:sz w:val="15"/>
              </w:rPr>
              <w:t>Nepal Law Commission - National Civil Code, 2074</w:t>
            </w:r>
          </w:p>
        </w:tc>
        <w:tc>
          <w:tcPr>
            <w:tcW w:type="dxa" w:w="3860"/>
            <w:vAlign w:val="top"/>
            <w:tcMar>
              <w:top w:w="80" w:type="dxa"/>
              <w:start w:w="120" w:type="dxa"/>
              <w:bottom w:w="80" w:type="dxa"/>
              <w:end w:w="120" w:type="dxa"/>
            </w:tcMar>
          </w:tcPr>
          <w:p>
            <w:pPr>
              <w:spacing w:after="0" w:line="240" w:lineRule="auto"/>
            </w:pPr>
            <w:r>
              <w:rPr>
                <w:rFonts w:ascii="Calibri" w:hAnsi="Calibri"/>
                <w:b w:val="0"/>
                <w:i w:val="0"/>
                <w:color w:val="000000"/>
                <w:sz w:val="15"/>
              </w:rPr>
              <w:t>https://lawcommission.gov.np/content/13455/civil-code-2074/</w:t>
            </w:r>
          </w:p>
        </w:tc>
        <w:tc>
          <w:tcPr>
            <w:tcW w:type="dxa" w:w="2700"/>
            <w:vAlign w:val="top"/>
            <w:tcMar>
              <w:top w:w="80" w:type="dxa"/>
              <w:start w:w="120" w:type="dxa"/>
              <w:bottom w:w="80" w:type="dxa"/>
              <w:end w:w="120" w:type="dxa"/>
            </w:tcMar>
          </w:tcPr>
          <w:p>
            <w:pPr>
              <w:spacing w:after="0" w:line="240" w:lineRule="auto"/>
            </w:pPr>
            <w:r>
              <w:rPr>
                <w:rFonts w:ascii="Calibri" w:hAnsi="Calibri"/>
                <w:b w:val="0"/>
                <w:i w:val="0"/>
                <w:color w:val="000000"/>
                <w:sz w:val="15"/>
              </w:rPr>
              <w:t>Primary civil/family-law reference.</w:t>
            </w:r>
          </w:p>
        </w:tc>
      </w:tr>
      <w:tr>
        <w:tc>
          <w:tcPr>
            <w:tcW w:type="dxa" w:w="2800"/>
            <w:vAlign w:val="top"/>
            <w:tcMar>
              <w:top w:w="80" w:type="dxa"/>
              <w:start w:w="120" w:type="dxa"/>
              <w:bottom w:w="80" w:type="dxa"/>
              <w:end w:w="120" w:type="dxa"/>
            </w:tcMar>
          </w:tcPr>
          <w:p>
            <w:pPr>
              <w:spacing w:after="0" w:line="240" w:lineRule="auto"/>
            </w:pPr>
            <w:r>
              <w:rPr>
                <w:rFonts w:ascii="Calibri" w:hAnsi="Calibri"/>
                <w:b w:val="0"/>
                <w:i w:val="0"/>
                <w:color w:val="000000"/>
                <w:sz w:val="15"/>
              </w:rPr>
              <w:t>Nepal Law Commission - Muluki Criminal Code, 2074</w:t>
            </w:r>
          </w:p>
        </w:tc>
        <w:tc>
          <w:tcPr>
            <w:tcW w:type="dxa" w:w="3860"/>
            <w:vAlign w:val="top"/>
            <w:tcMar>
              <w:top w:w="80" w:type="dxa"/>
              <w:start w:w="120" w:type="dxa"/>
              <w:bottom w:w="80" w:type="dxa"/>
              <w:end w:w="120" w:type="dxa"/>
            </w:tcMar>
          </w:tcPr>
          <w:p>
            <w:pPr>
              <w:spacing w:after="0" w:line="240" w:lineRule="auto"/>
            </w:pPr>
            <w:r>
              <w:rPr>
                <w:rFonts w:ascii="Calibri" w:hAnsi="Calibri"/>
                <w:b w:val="0"/>
                <w:i w:val="0"/>
                <w:color w:val="000000"/>
                <w:sz w:val="15"/>
              </w:rPr>
              <w:t>https://lawcommission.gov.np/content/13454/criminal-code-2074/</w:t>
            </w:r>
          </w:p>
        </w:tc>
        <w:tc>
          <w:tcPr>
            <w:tcW w:type="dxa" w:w="2700"/>
            <w:vAlign w:val="top"/>
            <w:tcMar>
              <w:top w:w="80" w:type="dxa"/>
              <w:start w:w="120" w:type="dxa"/>
              <w:bottom w:w="80" w:type="dxa"/>
              <w:end w:w="120" w:type="dxa"/>
            </w:tcMar>
          </w:tcPr>
          <w:p>
            <w:pPr>
              <w:spacing w:after="0" w:line="240" w:lineRule="auto"/>
            </w:pPr>
            <w:r>
              <w:rPr>
                <w:rFonts w:ascii="Calibri" w:hAnsi="Calibri"/>
                <w:b w:val="0"/>
                <w:i w:val="0"/>
                <w:color w:val="000000"/>
                <w:sz w:val="15"/>
              </w:rPr>
              <w:t>Primary criminal-law reference.</w:t>
            </w:r>
          </w:p>
        </w:tc>
      </w:tr>
      <w:tr>
        <w:tc>
          <w:tcPr>
            <w:tcW w:type="dxa" w:w="2800"/>
            <w:vAlign w:val="top"/>
            <w:tcMar>
              <w:top w:w="80" w:type="dxa"/>
              <w:start w:w="120" w:type="dxa"/>
              <w:bottom w:w="80" w:type="dxa"/>
              <w:end w:w="120" w:type="dxa"/>
            </w:tcMar>
          </w:tcPr>
          <w:p>
            <w:pPr>
              <w:spacing w:after="0" w:line="240" w:lineRule="auto"/>
            </w:pPr>
            <w:r>
              <w:rPr>
                <w:rFonts w:ascii="Calibri" w:hAnsi="Calibri"/>
                <w:b w:val="0"/>
                <w:i w:val="0"/>
                <w:color w:val="000000"/>
                <w:sz w:val="15"/>
              </w:rPr>
              <w:t>Google Play - account deletion requirements</w:t>
            </w:r>
          </w:p>
        </w:tc>
        <w:tc>
          <w:tcPr>
            <w:tcW w:type="dxa" w:w="3860"/>
            <w:vAlign w:val="top"/>
            <w:tcMar>
              <w:top w:w="80" w:type="dxa"/>
              <w:start w:w="120" w:type="dxa"/>
              <w:bottom w:w="80" w:type="dxa"/>
              <w:end w:w="120" w:type="dxa"/>
            </w:tcMar>
          </w:tcPr>
          <w:p>
            <w:pPr>
              <w:spacing w:after="0" w:line="240" w:lineRule="auto"/>
            </w:pPr>
            <w:r>
              <w:rPr>
                <w:rFonts w:ascii="Calibri" w:hAnsi="Calibri"/>
                <w:b w:val="0"/>
                <w:i w:val="0"/>
                <w:color w:val="000000"/>
                <w:sz w:val="15"/>
              </w:rPr>
              <w:t>https://support.google.com/googleplay/android-developer/answer/13327111?hl=en</w:t>
            </w:r>
          </w:p>
        </w:tc>
        <w:tc>
          <w:tcPr>
            <w:tcW w:type="dxa" w:w="2700"/>
            <w:vAlign w:val="top"/>
            <w:tcMar>
              <w:top w:w="80" w:type="dxa"/>
              <w:start w:w="120" w:type="dxa"/>
              <w:bottom w:w="80" w:type="dxa"/>
              <w:end w:w="120" w:type="dxa"/>
            </w:tcMar>
          </w:tcPr>
          <w:p>
            <w:pPr>
              <w:spacing w:after="0" w:line="240" w:lineRule="auto"/>
            </w:pPr>
            <w:r>
              <w:rPr>
                <w:rFonts w:ascii="Calibri" w:hAnsi="Calibri"/>
                <w:b w:val="0"/>
                <w:i w:val="0"/>
                <w:color w:val="000000"/>
                <w:sz w:val="15"/>
              </w:rPr>
              <w:t>Official platform policy guidance.</w:t>
            </w:r>
          </w:p>
        </w:tc>
      </w:tr>
      <w:tr>
        <w:tc>
          <w:tcPr>
            <w:tcW w:type="dxa" w:w="2800"/>
            <w:vAlign w:val="top"/>
            <w:tcMar>
              <w:top w:w="80" w:type="dxa"/>
              <w:start w:w="120" w:type="dxa"/>
              <w:bottom w:w="80" w:type="dxa"/>
              <w:end w:w="120" w:type="dxa"/>
            </w:tcMar>
          </w:tcPr>
          <w:p>
            <w:pPr>
              <w:spacing w:after="0" w:line="240" w:lineRule="auto"/>
            </w:pPr>
            <w:r>
              <w:rPr>
                <w:rFonts w:ascii="Calibri" w:hAnsi="Calibri"/>
                <w:b w:val="0"/>
                <w:i w:val="0"/>
                <w:color w:val="000000"/>
                <w:sz w:val="15"/>
              </w:rPr>
              <w:t>Apple - offering account deletion in your app</w:t>
            </w:r>
          </w:p>
        </w:tc>
        <w:tc>
          <w:tcPr>
            <w:tcW w:type="dxa" w:w="3860"/>
            <w:vAlign w:val="top"/>
            <w:tcMar>
              <w:top w:w="80" w:type="dxa"/>
              <w:start w:w="120" w:type="dxa"/>
              <w:bottom w:w="80" w:type="dxa"/>
              <w:end w:w="120" w:type="dxa"/>
            </w:tcMar>
          </w:tcPr>
          <w:p>
            <w:pPr>
              <w:spacing w:after="0" w:line="240" w:lineRule="auto"/>
            </w:pPr>
            <w:r>
              <w:rPr>
                <w:rFonts w:ascii="Calibri" w:hAnsi="Calibri"/>
                <w:b w:val="0"/>
                <w:i w:val="0"/>
                <w:color w:val="000000"/>
                <w:sz w:val="15"/>
              </w:rPr>
              <w:t>https://developer.apple.com/support/offering-account-deletion-in-your-app/</w:t>
            </w:r>
          </w:p>
        </w:tc>
        <w:tc>
          <w:tcPr>
            <w:tcW w:type="dxa" w:w="2700"/>
            <w:vAlign w:val="top"/>
            <w:tcMar>
              <w:top w:w="80" w:type="dxa"/>
              <w:start w:w="120" w:type="dxa"/>
              <w:bottom w:w="80" w:type="dxa"/>
              <w:end w:w="120" w:type="dxa"/>
            </w:tcMar>
          </w:tcPr>
          <w:p>
            <w:pPr>
              <w:spacing w:after="0" w:line="240" w:lineRule="auto"/>
            </w:pPr>
            <w:r>
              <w:rPr>
                <w:rFonts w:ascii="Calibri" w:hAnsi="Calibri"/>
                <w:b w:val="0"/>
                <w:i w:val="0"/>
                <w:color w:val="000000"/>
                <w:sz w:val="15"/>
              </w:rPr>
              <w:t>Official platform requirement.</w:t>
            </w:r>
          </w:p>
        </w:tc>
      </w:tr>
      <w:tr>
        <w:tc>
          <w:tcPr>
            <w:tcW w:type="dxa" w:w="2800"/>
            <w:vAlign w:val="top"/>
            <w:tcMar>
              <w:top w:w="80" w:type="dxa"/>
              <w:start w:w="120" w:type="dxa"/>
              <w:bottom w:w="80" w:type="dxa"/>
              <w:end w:w="120" w:type="dxa"/>
            </w:tcMar>
          </w:tcPr>
          <w:p>
            <w:pPr>
              <w:spacing w:after="0" w:line="240" w:lineRule="auto"/>
            </w:pPr>
            <w:r>
              <w:rPr>
                <w:rFonts w:ascii="Calibri" w:hAnsi="Calibri"/>
                <w:b w:val="0"/>
                <w:i w:val="0"/>
                <w:color w:val="000000"/>
                <w:sz w:val="15"/>
              </w:rPr>
              <w:t>Apple App Review Guidelines</w:t>
            </w:r>
          </w:p>
        </w:tc>
        <w:tc>
          <w:tcPr>
            <w:tcW w:type="dxa" w:w="3860"/>
            <w:vAlign w:val="top"/>
            <w:tcMar>
              <w:top w:w="80" w:type="dxa"/>
              <w:start w:w="120" w:type="dxa"/>
              <w:bottom w:w="80" w:type="dxa"/>
              <w:end w:w="120" w:type="dxa"/>
            </w:tcMar>
          </w:tcPr>
          <w:p>
            <w:pPr>
              <w:spacing w:after="0" w:line="240" w:lineRule="auto"/>
            </w:pPr>
            <w:r>
              <w:rPr>
                <w:rFonts w:ascii="Calibri" w:hAnsi="Calibri"/>
                <w:b w:val="0"/>
                <w:i w:val="0"/>
                <w:color w:val="000000"/>
                <w:sz w:val="15"/>
              </w:rPr>
              <w:t>https://developer.apple.com/app-store/review/guidelines/</w:t>
            </w:r>
          </w:p>
        </w:tc>
        <w:tc>
          <w:tcPr>
            <w:tcW w:type="dxa" w:w="2700"/>
            <w:vAlign w:val="top"/>
            <w:tcMar>
              <w:top w:w="80" w:type="dxa"/>
              <w:start w:w="120" w:type="dxa"/>
              <w:bottom w:w="80" w:type="dxa"/>
              <w:end w:w="120" w:type="dxa"/>
            </w:tcMar>
          </w:tcPr>
          <w:p>
            <w:pPr>
              <w:spacing w:after="0" w:line="240" w:lineRule="auto"/>
            </w:pPr>
            <w:r>
              <w:rPr>
                <w:rFonts w:ascii="Calibri" w:hAnsi="Calibri"/>
                <w:b w:val="0"/>
                <w:i w:val="0"/>
                <w:color w:val="000000"/>
                <w:sz w:val="15"/>
              </w:rPr>
              <w:t>Official review requirements.</w:t>
            </w:r>
          </w:p>
        </w:tc>
      </w:tr>
      <w:tr>
        <w:tc>
          <w:tcPr>
            <w:tcW w:type="dxa" w:w="2800"/>
            <w:vAlign w:val="top"/>
            <w:tcMar>
              <w:top w:w="80" w:type="dxa"/>
              <w:start w:w="120" w:type="dxa"/>
              <w:bottom w:w="80" w:type="dxa"/>
              <w:end w:w="120" w:type="dxa"/>
            </w:tcMar>
          </w:tcPr>
          <w:p>
            <w:pPr>
              <w:spacing w:after="0" w:line="240" w:lineRule="auto"/>
            </w:pPr>
            <w:r>
              <w:rPr>
                <w:rFonts w:ascii="Calibri" w:hAnsi="Calibri"/>
                <w:b w:val="0"/>
                <w:i w:val="0"/>
                <w:color w:val="000000"/>
                <w:sz w:val="15"/>
              </w:rPr>
              <w:t>Apple App Privacy Details</w:t>
            </w:r>
          </w:p>
        </w:tc>
        <w:tc>
          <w:tcPr>
            <w:tcW w:type="dxa" w:w="3860"/>
            <w:vAlign w:val="top"/>
            <w:tcMar>
              <w:top w:w="80" w:type="dxa"/>
              <w:start w:w="120" w:type="dxa"/>
              <w:bottom w:w="80" w:type="dxa"/>
              <w:end w:w="120" w:type="dxa"/>
            </w:tcMar>
          </w:tcPr>
          <w:p>
            <w:pPr>
              <w:spacing w:after="0" w:line="240" w:lineRule="auto"/>
            </w:pPr>
            <w:r>
              <w:rPr>
                <w:rFonts w:ascii="Calibri" w:hAnsi="Calibri"/>
                <w:b w:val="0"/>
                <w:i w:val="0"/>
                <w:color w:val="000000"/>
                <w:sz w:val="15"/>
              </w:rPr>
              <w:t>https://developer.apple.com/app-store/app-privacy-details/</w:t>
            </w:r>
          </w:p>
        </w:tc>
        <w:tc>
          <w:tcPr>
            <w:tcW w:type="dxa" w:w="2700"/>
            <w:vAlign w:val="top"/>
            <w:tcMar>
              <w:top w:w="80" w:type="dxa"/>
              <w:start w:w="120" w:type="dxa"/>
              <w:bottom w:w="80" w:type="dxa"/>
              <w:end w:w="120" w:type="dxa"/>
            </w:tcMar>
          </w:tcPr>
          <w:p>
            <w:pPr>
              <w:spacing w:after="0" w:line="240" w:lineRule="auto"/>
            </w:pPr>
            <w:r>
              <w:rPr>
                <w:rFonts w:ascii="Calibri" w:hAnsi="Calibri"/>
                <w:b w:val="0"/>
                <w:i w:val="0"/>
                <w:color w:val="000000"/>
                <w:sz w:val="15"/>
              </w:rPr>
              <w:t>Official disclosure guidance.</w:t>
            </w:r>
          </w:p>
        </w:tc>
      </w:tr>
      <w:tr>
        <w:tc>
          <w:tcPr>
            <w:tcW w:type="dxa" w:w="2800"/>
            <w:vAlign w:val="top"/>
            <w:tcMar>
              <w:top w:w="80" w:type="dxa"/>
              <w:start w:w="120" w:type="dxa"/>
              <w:bottom w:w="80" w:type="dxa"/>
              <w:end w:w="120" w:type="dxa"/>
            </w:tcMar>
          </w:tcPr>
          <w:p>
            <w:pPr>
              <w:spacing w:after="0" w:line="240" w:lineRule="auto"/>
            </w:pPr>
            <w:r>
              <w:rPr>
                <w:rFonts w:ascii="Calibri" w:hAnsi="Calibri"/>
                <w:b w:val="0"/>
                <w:i w:val="0"/>
                <w:color w:val="000000"/>
                <w:sz w:val="15"/>
              </w:rPr>
              <w:t>Android privacy and security</w:t>
            </w:r>
          </w:p>
        </w:tc>
        <w:tc>
          <w:tcPr>
            <w:tcW w:type="dxa" w:w="3860"/>
            <w:vAlign w:val="top"/>
            <w:tcMar>
              <w:top w:w="80" w:type="dxa"/>
              <w:start w:w="120" w:type="dxa"/>
              <w:bottom w:w="80" w:type="dxa"/>
              <w:end w:w="120" w:type="dxa"/>
            </w:tcMar>
          </w:tcPr>
          <w:p>
            <w:pPr>
              <w:spacing w:after="0" w:line="240" w:lineRule="auto"/>
            </w:pPr>
            <w:r>
              <w:rPr>
                <w:rFonts w:ascii="Calibri" w:hAnsi="Calibri"/>
                <w:b w:val="0"/>
                <w:i w:val="0"/>
                <w:color w:val="000000"/>
                <w:sz w:val="15"/>
              </w:rPr>
              <w:t>https://developer.android.com/privacy</w:t>
            </w:r>
          </w:p>
        </w:tc>
        <w:tc>
          <w:tcPr>
            <w:tcW w:type="dxa" w:w="2700"/>
            <w:vAlign w:val="top"/>
            <w:tcMar>
              <w:top w:w="80" w:type="dxa"/>
              <w:start w:w="120" w:type="dxa"/>
              <w:bottom w:w="80" w:type="dxa"/>
              <w:end w:w="120" w:type="dxa"/>
            </w:tcMar>
          </w:tcPr>
          <w:p>
            <w:pPr>
              <w:spacing w:after="0" w:line="240" w:lineRule="auto"/>
            </w:pPr>
            <w:r>
              <w:rPr>
                <w:rFonts w:ascii="Calibri" w:hAnsi="Calibri"/>
                <w:b w:val="0"/>
                <w:i w:val="0"/>
                <w:color w:val="000000"/>
                <w:sz w:val="15"/>
              </w:rPr>
              <w:t>Official engineering guidance.</w:t>
            </w:r>
          </w:p>
        </w:tc>
      </w:tr>
    </w:tbl>
    <w:p>
      <w:pPr>
        <w:spacing w:after="0"/>
      </w:pPr>
    </w:p>
    <w:p>
      <w:pPr>
        <w:pStyle w:val="Heading1"/>
      </w:pPr>
      <w:r>
        <w:t>Appendix C. Approval record</w:t>
      </w:r>
    </w:p>
    <w:tbl>
      <w:tblPr>
        <w:tblStyle w:val="TableGrid"/>
        <w:tblW w:type="dxa" w:w="9360"/>
        <w:tblLayout w:type="fixed"/>
        <w:tblLook w:firstColumn="1" w:firstRow="1" w:lastColumn="0" w:lastRow="0" w:noHBand="0" w:noVBand="1" w:val="04A0"/>
        <w:jc w:val="left"/>
        <w:tblInd w:w="120" w:type="dxa"/>
        <w:tblInd w:w="120" w:type="dxa"/>
      </w:tblPr>
      <w:tblGrid>
        <w:gridCol w:w="2400"/>
        <w:gridCol w:w="1700"/>
        <w:gridCol w:w="1900"/>
        <w:gridCol w:w="1300"/>
        <w:gridCol w:w="2060"/>
      </w:tblGrid>
      <w:tr>
        <w:trPr>
          <w:tblHeader w:val="true"/>
        </w:trPr>
        <w:tc>
          <w:tcPr>
            <w:tcW w:type="dxa" w:w="2400"/>
            <w:vAlign w:val="top"/>
            <w:tcMar>
              <w:top w:w="80" w:type="dxa"/>
              <w:start w:w="120" w:type="dxa"/>
              <w:bottom w:w="80" w:type="dxa"/>
              <w:end w:w="120" w:type="dxa"/>
            </w:tcMar>
            <w:shd w:fill="E8EEF5"/>
          </w:tcPr>
          <w:p>
            <w:pPr>
              <w:spacing w:after="0"/>
            </w:pPr>
            <w:r>
              <w:rPr>
                <w:rFonts w:ascii="Calibri" w:hAnsi="Calibri"/>
                <w:b/>
                <w:i w:val="0"/>
                <w:color w:val="17365D"/>
                <w:sz w:val="17"/>
              </w:rPr>
              <w:t>Approval role</w:t>
            </w:r>
          </w:p>
        </w:tc>
        <w:tc>
          <w:tcPr>
            <w:tcW w:type="dxa" w:w="1700"/>
            <w:vAlign w:val="top"/>
            <w:tcMar>
              <w:top w:w="80" w:type="dxa"/>
              <w:start w:w="120" w:type="dxa"/>
              <w:bottom w:w="80" w:type="dxa"/>
              <w:end w:w="120" w:type="dxa"/>
            </w:tcMar>
            <w:shd w:fill="E8EEF5"/>
          </w:tcPr>
          <w:p>
            <w:pPr>
              <w:spacing w:after="0"/>
            </w:pPr>
            <w:r>
              <w:rPr>
                <w:rFonts w:ascii="Calibri" w:hAnsi="Calibri"/>
                <w:b/>
                <w:i w:val="0"/>
                <w:color w:val="17365D"/>
                <w:sz w:val="17"/>
              </w:rPr>
              <w:t>Name</w:t>
            </w:r>
          </w:p>
        </w:tc>
        <w:tc>
          <w:tcPr>
            <w:tcW w:type="dxa" w:w="1900"/>
            <w:vAlign w:val="top"/>
            <w:tcMar>
              <w:top w:w="80" w:type="dxa"/>
              <w:start w:w="120" w:type="dxa"/>
              <w:bottom w:w="80" w:type="dxa"/>
              <w:end w:w="120" w:type="dxa"/>
            </w:tcMar>
            <w:shd w:fill="E8EEF5"/>
          </w:tcPr>
          <w:p>
            <w:pPr>
              <w:spacing w:after="0"/>
            </w:pPr>
            <w:r>
              <w:rPr>
                <w:rFonts w:ascii="Calibri" w:hAnsi="Calibri"/>
                <w:b/>
                <w:i w:val="0"/>
                <w:color w:val="17365D"/>
                <w:sz w:val="17"/>
              </w:rPr>
              <w:t>Decision</w:t>
            </w:r>
          </w:p>
        </w:tc>
        <w:tc>
          <w:tcPr>
            <w:tcW w:type="dxa" w:w="1300"/>
            <w:vAlign w:val="top"/>
            <w:tcMar>
              <w:top w:w="80" w:type="dxa"/>
              <w:start w:w="120" w:type="dxa"/>
              <w:bottom w:w="80" w:type="dxa"/>
              <w:end w:w="120" w:type="dxa"/>
            </w:tcMar>
            <w:shd w:fill="E8EEF5"/>
          </w:tcPr>
          <w:p>
            <w:pPr>
              <w:spacing w:after="0"/>
            </w:pPr>
            <w:r>
              <w:rPr>
                <w:rFonts w:ascii="Calibri" w:hAnsi="Calibri"/>
                <w:b/>
                <w:i w:val="0"/>
                <w:color w:val="17365D"/>
                <w:sz w:val="17"/>
              </w:rPr>
              <w:t>Date</w:t>
            </w:r>
          </w:p>
        </w:tc>
        <w:tc>
          <w:tcPr>
            <w:tcW w:type="dxa" w:w="2060"/>
            <w:vAlign w:val="top"/>
            <w:tcMar>
              <w:top w:w="80" w:type="dxa"/>
              <w:start w:w="120" w:type="dxa"/>
              <w:bottom w:w="80" w:type="dxa"/>
              <w:end w:w="120" w:type="dxa"/>
            </w:tcMar>
            <w:shd w:fill="E8EEF5"/>
          </w:tcPr>
          <w:p>
            <w:pPr>
              <w:spacing w:after="0"/>
            </w:pPr>
            <w:r>
              <w:rPr>
                <w:rFonts w:ascii="Calibri" w:hAnsi="Calibri"/>
                <w:b/>
                <w:i w:val="0"/>
                <w:color w:val="17365D"/>
                <w:sz w:val="17"/>
              </w:rPr>
              <w:t>Evidence / signature reference</w:t>
            </w:r>
          </w:p>
        </w:tc>
      </w:tr>
      <w:tr>
        <w:tc>
          <w:tcPr>
            <w:tcW w:type="dxa" w:w="2400"/>
            <w:vAlign w:val="top"/>
            <w:tcMar>
              <w:top w:w="80" w:type="dxa"/>
              <w:start w:w="120" w:type="dxa"/>
              <w:bottom w:w="80" w:type="dxa"/>
              <w:end w:w="120" w:type="dxa"/>
            </w:tcMar>
          </w:tcPr>
          <w:p>
            <w:pPr>
              <w:spacing w:after="0" w:line="240" w:lineRule="auto"/>
            </w:pPr>
            <w:r>
              <w:rPr>
                <w:rFonts w:ascii="Calibri" w:hAnsi="Calibri"/>
                <w:b w:val="0"/>
                <w:i w:val="0"/>
                <w:color w:val="000000"/>
                <w:sz w:val="17"/>
              </w:rPr>
              <w:t>Privacy / Data Protection Officer</w:t>
            </w:r>
          </w:p>
        </w:tc>
        <w:tc>
          <w:tcPr>
            <w:tcW w:type="dxa" w:w="1700"/>
            <w:vAlign w:val="top"/>
            <w:tcMar>
              <w:top w:w="80" w:type="dxa"/>
              <w:start w:w="120" w:type="dxa"/>
              <w:bottom w:w="80" w:type="dxa"/>
              <w:end w:w="120" w:type="dxa"/>
            </w:tcMar>
          </w:tcPr>
          <w:p>
            <w:pPr>
              <w:spacing w:after="0" w:line="240" w:lineRule="auto"/>
            </w:pPr>
            <w:r>
              <w:rPr>
                <w:rFonts w:ascii="Calibri" w:hAnsi="Calibri"/>
                <w:b w:val="0"/>
                <w:i w:val="0"/>
                <w:color w:val="000000"/>
                <w:sz w:val="17"/>
              </w:rPr>
              <w:t>[PENDING]</w:t>
            </w:r>
          </w:p>
        </w:tc>
        <w:tc>
          <w:tcPr>
            <w:tcW w:type="dxa" w:w="1900"/>
            <w:vAlign w:val="top"/>
            <w:tcMar>
              <w:top w:w="80" w:type="dxa"/>
              <w:start w:w="120" w:type="dxa"/>
              <w:bottom w:w="80" w:type="dxa"/>
              <w:end w:w="120" w:type="dxa"/>
            </w:tcMar>
          </w:tcPr>
          <w:p>
            <w:pPr>
              <w:spacing w:after="0" w:line="240" w:lineRule="auto"/>
            </w:pPr>
            <w:r>
              <w:rPr>
                <w:rFonts w:ascii="Calibri" w:hAnsi="Calibri"/>
                <w:b w:val="0"/>
                <w:i w:val="0"/>
                <w:color w:val="000000"/>
                <w:sz w:val="17"/>
              </w:rPr>
              <w:t>[ ] Approve  [ ] Return</w:t>
            </w:r>
          </w:p>
        </w:tc>
        <w:tc>
          <w:tcPr>
            <w:tcW w:type="dxa" w:w="1300"/>
            <w:vAlign w:val="top"/>
            <w:tcMar>
              <w:top w:w="80" w:type="dxa"/>
              <w:start w:w="120" w:type="dxa"/>
              <w:bottom w:w="80" w:type="dxa"/>
              <w:end w:w="120" w:type="dxa"/>
            </w:tcMar>
          </w:tcPr>
          <w:p>
            <w:pPr>
              <w:spacing w:after="0" w:line="240" w:lineRule="auto"/>
            </w:pPr>
            <w:r>
              <w:rPr>
                <w:rFonts w:ascii="Calibri" w:hAnsi="Calibri"/>
                <w:b w:val="0"/>
                <w:i w:val="0"/>
                <w:color w:val="000000"/>
                <w:sz w:val="17"/>
              </w:rPr>
              <w:t>[PENDING]</w:t>
            </w:r>
          </w:p>
        </w:tc>
        <w:tc>
          <w:tcPr>
            <w:tcW w:type="dxa" w:w="2060"/>
            <w:vAlign w:val="top"/>
            <w:tcMar>
              <w:top w:w="80" w:type="dxa"/>
              <w:start w:w="120" w:type="dxa"/>
              <w:bottom w:w="80" w:type="dxa"/>
              <w:end w:w="120" w:type="dxa"/>
            </w:tcMar>
          </w:tcPr>
          <w:p>
            <w:pPr>
              <w:spacing w:after="0" w:line="240" w:lineRule="auto"/>
            </w:pPr>
            <w:r>
              <w:rPr>
                <w:rFonts w:ascii="Calibri" w:hAnsi="Calibri"/>
                <w:b w:val="0"/>
                <w:i w:val="0"/>
                <w:color w:val="000000"/>
                <w:sz w:val="17"/>
              </w:rPr>
              <w:t>[PENDING]</w:t>
            </w:r>
          </w:p>
        </w:tc>
      </w:tr>
      <w:tr>
        <w:tc>
          <w:tcPr>
            <w:tcW w:type="dxa" w:w="2400"/>
            <w:vAlign w:val="top"/>
            <w:tcMar>
              <w:top w:w="80" w:type="dxa"/>
              <w:start w:w="120" w:type="dxa"/>
              <w:bottom w:w="80" w:type="dxa"/>
              <w:end w:w="120" w:type="dxa"/>
            </w:tcMar>
          </w:tcPr>
          <w:p>
            <w:pPr>
              <w:spacing w:after="0" w:line="240" w:lineRule="auto"/>
            </w:pPr>
            <w:r>
              <w:rPr>
                <w:rFonts w:ascii="Calibri" w:hAnsi="Calibri"/>
                <w:b w:val="0"/>
                <w:i w:val="0"/>
                <w:color w:val="000000"/>
                <w:sz w:val="17"/>
              </w:rPr>
              <w:t>Nepal-qualified Legal Adviser</w:t>
            </w:r>
          </w:p>
        </w:tc>
        <w:tc>
          <w:tcPr>
            <w:tcW w:type="dxa" w:w="1700"/>
            <w:vAlign w:val="top"/>
            <w:tcMar>
              <w:top w:w="80" w:type="dxa"/>
              <w:start w:w="120" w:type="dxa"/>
              <w:bottom w:w="80" w:type="dxa"/>
              <w:end w:w="120" w:type="dxa"/>
            </w:tcMar>
          </w:tcPr>
          <w:p>
            <w:pPr>
              <w:spacing w:after="0" w:line="240" w:lineRule="auto"/>
            </w:pPr>
            <w:r>
              <w:rPr>
                <w:rFonts w:ascii="Calibri" w:hAnsi="Calibri"/>
                <w:b w:val="0"/>
                <w:i w:val="0"/>
                <w:color w:val="000000"/>
                <w:sz w:val="17"/>
              </w:rPr>
              <w:t>[PENDING]</w:t>
            </w:r>
          </w:p>
        </w:tc>
        <w:tc>
          <w:tcPr>
            <w:tcW w:type="dxa" w:w="1900"/>
            <w:vAlign w:val="top"/>
            <w:tcMar>
              <w:top w:w="80" w:type="dxa"/>
              <w:start w:w="120" w:type="dxa"/>
              <w:bottom w:w="80" w:type="dxa"/>
              <w:end w:w="120" w:type="dxa"/>
            </w:tcMar>
          </w:tcPr>
          <w:p>
            <w:pPr>
              <w:spacing w:after="0" w:line="240" w:lineRule="auto"/>
            </w:pPr>
            <w:r>
              <w:rPr>
                <w:rFonts w:ascii="Calibri" w:hAnsi="Calibri"/>
                <w:b w:val="0"/>
                <w:i w:val="0"/>
                <w:color w:val="000000"/>
                <w:sz w:val="17"/>
              </w:rPr>
              <w:t>[ ] Approve  [ ] Return</w:t>
            </w:r>
          </w:p>
        </w:tc>
        <w:tc>
          <w:tcPr>
            <w:tcW w:type="dxa" w:w="1300"/>
            <w:vAlign w:val="top"/>
            <w:tcMar>
              <w:top w:w="80" w:type="dxa"/>
              <w:start w:w="120" w:type="dxa"/>
              <w:bottom w:w="80" w:type="dxa"/>
              <w:end w:w="120" w:type="dxa"/>
            </w:tcMar>
          </w:tcPr>
          <w:p>
            <w:pPr>
              <w:spacing w:after="0" w:line="240" w:lineRule="auto"/>
            </w:pPr>
            <w:r>
              <w:rPr>
                <w:rFonts w:ascii="Calibri" w:hAnsi="Calibri"/>
                <w:b w:val="0"/>
                <w:i w:val="0"/>
                <w:color w:val="000000"/>
                <w:sz w:val="17"/>
              </w:rPr>
              <w:t>[PENDING]</w:t>
            </w:r>
          </w:p>
        </w:tc>
        <w:tc>
          <w:tcPr>
            <w:tcW w:type="dxa" w:w="2060"/>
            <w:vAlign w:val="top"/>
            <w:tcMar>
              <w:top w:w="80" w:type="dxa"/>
              <w:start w:w="120" w:type="dxa"/>
              <w:bottom w:w="80" w:type="dxa"/>
              <w:end w:w="120" w:type="dxa"/>
            </w:tcMar>
          </w:tcPr>
          <w:p>
            <w:pPr>
              <w:spacing w:after="0" w:line="240" w:lineRule="auto"/>
            </w:pPr>
            <w:r>
              <w:rPr>
                <w:rFonts w:ascii="Calibri" w:hAnsi="Calibri"/>
                <w:b w:val="0"/>
                <w:i w:val="0"/>
                <w:color w:val="000000"/>
                <w:sz w:val="17"/>
              </w:rPr>
              <w:t>[PENDING]</w:t>
            </w:r>
          </w:p>
        </w:tc>
      </w:tr>
      <w:tr>
        <w:tc>
          <w:tcPr>
            <w:tcW w:type="dxa" w:w="2400"/>
            <w:vAlign w:val="top"/>
            <w:tcMar>
              <w:top w:w="80" w:type="dxa"/>
              <w:start w:w="120" w:type="dxa"/>
              <w:bottom w:w="80" w:type="dxa"/>
              <w:end w:w="120" w:type="dxa"/>
            </w:tcMar>
          </w:tcPr>
          <w:p>
            <w:pPr>
              <w:spacing w:after="0" w:line="240" w:lineRule="auto"/>
            </w:pPr>
            <w:r>
              <w:rPr>
                <w:rFonts w:ascii="Calibri" w:hAnsi="Calibri"/>
                <w:b w:val="0"/>
                <w:i w:val="0"/>
                <w:color w:val="000000"/>
                <w:sz w:val="17"/>
              </w:rPr>
              <w:t>Security Authority</w:t>
            </w:r>
          </w:p>
        </w:tc>
        <w:tc>
          <w:tcPr>
            <w:tcW w:type="dxa" w:w="1700"/>
            <w:vAlign w:val="top"/>
            <w:tcMar>
              <w:top w:w="80" w:type="dxa"/>
              <w:start w:w="120" w:type="dxa"/>
              <w:bottom w:w="80" w:type="dxa"/>
              <w:end w:w="120" w:type="dxa"/>
            </w:tcMar>
          </w:tcPr>
          <w:p>
            <w:pPr>
              <w:spacing w:after="0" w:line="240" w:lineRule="auto"/>
            </w:pPr>
            <w:r>
              <w:rPr>
                <w:rFonts w:ascii="Calibri" w:hAnsi="Calibri"/>
                <w:b w:val="0"/>
                <w:i w:val="0"/>
                <w:color w:val="000000"/>
                <w:sz w:val="17"/>
              </w:rPr>
              <w:t>[PENDING]</w:t>
            </w:r>
          </w:p>
        </w:tc>
        <w:tc>
          <w:tcPr>
            <w:tcW w:type="dxa" w:w="1900"/>
            <w:vAlign w:val="top"/>
            <w:tcMar>
              <w:top w:w="80" w:type="dxa"/>
              <w:start w:w="120" w:type="dxa"/>
              <w:bottom w:w="80" w:type="dxa"/>
              <w:end w:w="120" w:type="dxa"/>
            </w:tcMar>
          </w:tcPr>
          <w:p>
            <w:pPr>
              <w:spacing w:after="0" w:line="240" w:lineRule="auto"/>
            </w:pPr>
            <w:r>
              <w:rPr>
                <w:rFonts w:ascii="Calibri" w:hAnsi="Calibri"/>
                <w:b w:val="0"/>
                <w:i w:val="0"/>
                <w:color w:val="000000"/>
                <w:sz w:val="17"/>
              </w:rPr>
              <w:t>[ ] Approve  [ ] Return</w:t>
            </w:r>
          </w:p>
        </w:tc>
        <w:tc>
          <w:tcPr>
            <w:tcW w:type="dxa" w:w="1300"/>
            <w:vAlign w:val="top"/>
            <w:tcMar>
              <w:top w:w="80" w:type="dxa"/>
              <w:start w:w="120" w:type="dxa"/>
              <w:bottom w:w="80" w:type="dxa"/>
              <w:end w:w="120" w:type="dxa"/>
            </w:tcMar>
          </w:tcPr>
          <w:p>
            <w:pPr>
              <w:spacing w:after="0" w:line="240" w:lineRule="auto"/>
            </w:pPr>
            <w:r>
              <w:rPr>
                <w:rFonts w:ascii="Calibri" w:hAnsi="Calibri"/>
                <w:b w:val="0"/>
                <w:i w:val="0"/>
                <w:color w:val="000000"/>
                <w:sz w:val="17"/>
              </w:rPr>
              <w:t>[PENDING]</w:t>
            </w:r>
          </w:p>
        </w:tc>
        <w:tc>
          <w:tcPr>
            <w:tcW w:type="dxa" w:w="2060"/>
            <w:vAlign w:val="top"/>
            <w:tcMar>
              <w:top w:w="80" w:type="dxa"/>
              <w:start w:w="120" w:type="dxa"/>
              <w:bottom w:w="80" w:type="dxa"/>
              <w:end w:w="120" w:type="dxa"/>
            </w:tcMar>
          </w:tcPr>
          <w:p>
            <w:pPr>
              <w:spacing w:after="0" w:line="240" w:lineRule="auto"/>
            </w:pPr>
            <w:r>
              <w:rPr>
                <w:rFonts w:ascii="Calibri" w:hAnsi="Calibri"/>
                <w:b w:val="0"/>
                <w:i w:val="0"/>
                <w:color w:val="000000"/>
                <w:sz w:val="17"/>
              </w:rPr>
              <w:t>[PENDING]</w:t>
            </w:r>
          </w:p>
        </w:tc>
      </w:tr>
      <w:tr>
        <w:tc>
          <w:tcPr>
            <w:tcW w:type="dxa" w:w="2400"/>
            <w:vAlign w:val="top"/>
            <w:tcMar>
              <w:top w:w="80" w:type="dxa"/>
              <w:start w:w="120" w:type="dxa"/>
              <w:bottom w:w="80" w:type="dxa"/>
              <w:end w:w="120" w:type="dxa"/>
            </w:tcMar>
          </w:tcPr>
          <w:p>
            <w:pPr>
              <w:spacing w:after="0" w:line="240" w:lineRule="auto"/>
            </w:pPr>
            <w:r>
              <w:rPr>
                <w:rFonts w:ascii="Calibri" w:hAnsi="Calibri"/>
                <w:b w:val="0"/>
                <w:i w:val="0"/>
                <w:color w:val="000000"/>
                <w:sz w:val="17"/>
              </w:rPr>
              <w:t>Product Owner</w:t>
            </w:r>
          </w:p>
        </w:tc>
        <w:tc>
          <w:tcPr>
            <w:tcW w:type="dxa" w:w="1700"/>
            <w:vAlign w:val="top"/>
            <w:tcMar>
              <w:top w:w="80" w:type="dxa"/>
              <w:start w:w="120" w:type="dxa"/>
              <w:bottom w:w="80" w:type="dxa"/>
              <w:end w:w="120" w:type="dxa"/>
            </w:tcMar>
          </w:tcPr>
          <w:p>
            <w:pPr>
              <w:spacing w:after="0" w:line="240" w:lineRule="auto"/>
            </w:pPr>
            <w:r>
              <w:rPr>
                <w:rFonts w:ascii="Calibri" w:hAnsi="Calibri"/>
                <w:b w:val="0"/>
                <w:i w:val="0"/>
                <w:color w:val="000000"/>
                <w:sz w:val="17"/>
              </w:rPr>
              <w:t>[PENDING]</w:t>
            </w:r>
          </w:p>
        </w:tc>
        <w:tc>
          <w:tcPr>
            <w:tcW w:type="dxa" w:w="1900"/>
            <w:vAlign w:val="top"/>
            <w:tcMar>
              <w:top w:w="80" w:type="dxa"/>
              <w:start w:w="120" w:type="dxa"/>
              <w:bottom w:w="80" w:type="dxa"/>
              <w:end w:w="120" w:type="dxa"/>
            </w:tcMar>
          </w:tcPr>
          <w:p>
            <w:pPr>
              <w:spacing w:after="0" w:line="240" w:lineRule="auto"/>
            </w:pPr>
            <w:r>
              <w:rPr>
                <w:rFonts w:ascii="Calibri" w:hAnsi="Calibri"/>
                <w:b w:val="0"/>
                <w:i w:val="0"/>
                <w:color w:val="000000"/>
                <w:sz w:val="17"/>
              </w:rPr>
              <w:t>[ ] Approve  [ ] Return</w:t>
            </w:r>
          </w:p>
        </w:tc>
        <w:tc>
          <w:tcPr>
            <w:tcW w:type="dxa" w:w="1300"/>
            <w:vAlign w:val="top"/>
            <w:tcMar>
              <w:top w:w="80" w:type="dxa"/>
              <w:start w:w="120" w:type="dxa"/>
              <w:bottom w:w="80" w:type="dxa"/>
              <w:end w:w="120" w:type="dxa"/>
            </w:tcMar>
          </w:tcPr>
          <w:p>
            <w:pPr>
              <w:spacing w:after="0" w:line="240" w:lineRule="auto"/>
            </w:pPr>
            <w:r>
              <w:rPr>
                <w:rFonts w:ascii="Calibri" w:hAnsi="Calibri"/>
                <w:b w:val="0"/>
                <w:i w:val="0"/>
                <w:color w:val="000000"/>
                <w:sz w:val="17"/>
              </w:rPr>
              <w:t>[PENDING]</w:t>
            </w:r>
          </w:p>
        </w:tc>
        <w:tc>
          <w:tcPr>
            <w:tcW w:type="dxa" w:w="2060"/>
            <w:vAlign w:val="top"/>
            <w:tcMar>
              <w:top w:w="80" w:type="dxa"/>
              <w:start w:w="120" w:type="dxa"/>
              <w:bottom w:w="80" w:type="dxa"/>
              <w:end w:w="120" w:type="dxa"/>
            </w:tcMar>
          </w:tcPr>
          <w:p>
            <w:pPr>
              <w:spacing w:after="0" w:line="240" w:lineRule="auto"/>
            </w:pPr>
            <w:r>
              <w:rPr>
                <w:rFonts w:ascii="Calibri" w:hAnsi="Calibri"/>
                <w:b w:val="0"/>
                <w:i w:val="0"/>
                <w:color w:val="000000"/>
                <w:sz w:val="17"/>
              </w:rPr>
              <w:t>[PENDING]</w:t>
            </w:r>
          </w:p>
        </w:tc>
      </w:tr>
      <w:tr>
        <w:tc>
          <w:tcPr>
            <w:tcW w:type="dxa" w:w="2400"/>
            <w:vAlign w:val="top"/>
            <w:tcMar>
              <w:top w:w="80" w:type="dxa"/>
              <w:start w:w="120" w:type="dxa"/>
              <w:bottom w:w="80" w:type="dxa"/>
              <w:end w:w="120" w:type="dxa"/>
            </w:tcMar>
          </w:tcPr>
          <w:p>
            <w:pPr>
              <w:spacing w:after="0" w:line="240" w:lineRule="auto"/>
            </w:pPr>
            <w:r>
              <w:rPr>
                <w:rFonts w:ascii="Calibri" w:hAnsi="Calibri"/>
                <w:b w:val="0"/>
                <w:i w:val="0"/>
                <w:color w:val="000000"/>
                <w:sz w:val="17"/>
              </w:rPr>
              <w:t>Governing Board</w:t>
            </w:r>
          </w:p>
        </w:tc>
        <w:tc>
          <w:tcPr>
            <w:tcW w:type="dxa" w:w="1700"/>
            <w:vAlign w:val="top"/>
            <w:tcMar>
              <w:top w:w="80" w:type="dxa"/>
              <w:start w:w="120" w:type="dxa"/>
              <w:bottom w:w="80" w:type="dxa"/>
              <w:end w:w="120" w:type="dxa"/>
            </w:tcMar>
          </w:tcPr>
          <w:p>
            <w:pPr>
              <w:spacing w:after="0" w:line="240" w:lineRule="auto"/>
            </w:pPr>
            <w:r>
              <w:rPr>
                <w:rFonts w:ascii="Calibri" w:hAnsi="Calibri"/>
                <w:b w:val="0"/>
                <w:i w:val="0"/>
                <w:color w:val="000000"/>
                <w:sz w:val="17"/>
              </w:rPr>
              <w:t>[PENDING]</w:t>
            </w:r>
          </w:p>
        </w:tc>
        <w:tc>
          <w:tcPr>
            <w:tcW w:type="dxa" w:w="1900"/>
            <w:vAlign w:val="top"/>
            <w:tcMar>
              <w:top w:w="80" w:type="dxa"/>
              <w:start w:w="120" w:type="dxa"/>
              <w:bottom w:w="80" w:type="dxa"/>
              <w:end w:w="120" w:type="dxa"/>
            </w:tcMar>
          </w:tcPr>
          <w:p>
            <w:pPr>
              <w:spacing w:after="0" w:line="240" w:lineRule="auto"/>
            </w:pPr>
            <w:r>
              <w:rPr>
                <w:rFonts w:ascii="Calibri" w:hAnsi="Calibri"/>
                <w:b w:val="0"/>
                <w:i w:val="0"/>
                <w:color w:val="000000"/>
                <w:sz w:val="17"/>
              </w:rPr>
              <w:t>[ ] Approve  [ ] Return</w:t>
            </w:r>
          </w:p>
        </w:tc>
        <w:tc>
          <w:tcPr>
            <w:tcW w:type="dxa" w:w="1300"/>
            <w:vAlign w:val="top"/>
            <w:tcMar>
              <w:top w:w="80" w:type="dxa"/>
              <w:start w:w="120" w:type="dxa"/>
              <w:bottom w:w="80" w:type="dxa"/>
              <w:end w:w="120" w:type="dxa"/>
            </w:tcMar>
          </w:tcPr>
          <w:p>
            <w:pPr>
              <w:spacing w:after="0" w:line="240" w:lineRule="auto"/>
            </w:pPr>
            <w:r>
              <w:rPr>
                <w:rFonts w:ascii="Calibri" w:hAnsi="Calibri"/>
                <w:b w:val="0"/>
                <w:i w:val="0"/>
                <w:color w:val="000000"/>
                <w:sz w:val="17"/>
              </w:rPr>
              <w:t>[PENDING]</w:t>
            </w:r>
          </w:p>
        </w:tc>
        <w:tc>
          <w:tcPr>
            <w:tcW w:type="dxa" w:w="2060"/>
            <w:vAlign w:val="top"/>
            <w:tcMar>
              <w:top w:w="80" w:type="dxa"/>
              <w:start w:w="120" w:type="dxa"/>
              <w:bottom w:w="80" w:type="dxa"/>
              <w:end w:w="120" w:type="dxa"/>
            </w:tcMar>
          </w:tcPr>
          <w:p>
            <w:pPr>
              <w:spacing w:after="0" w:line="240" w:lineRule="auto"/>
            </w:pPr>
            <w:r>
              <w:rPr>
                <w:rFonts w:ascii="Calibri" w:hAnsi="Calibri"/>
                <w:b w:val="0"/>
                <w:i w:val="0"/>
                <w:color w:val="000000"/>
                <w:sz w:val="17"/>
              </w:rPr>
              <w:t>[PENDING]</w:t>
            </w:r>
          </w:p>
        </w:tc>
      </w:tr>
      <w:tr>
        <w:tc>
          <w:tcPr>
            <w:tcW w:type="dxa" w:w="2400"/>
          </w:tcPr>
          <w:p>
            <w:r>
              <w:rPr>
                <w:b w:val="0"/>
                <w:sz w:val="17"/>
              </w:rPr>
              <w:t>Policy Owner / Approving Organization</w:t>
            </w:r>
          </w:p>
        </w:tc>
        <w:tc>
          <w:tcPr>
            <w:tcW w:type="dxa" w:w="1700"/>
          </w:tcPr>
          <w:p>
            <w:r>
              <w:rPr>
                <w:b w:val="0"/>
                <w:sz w:val="17"/>
              </w:rPr>
              <w:t>Jyphra Technology Pvt. Ltd.</w:t>
            </w:r>
          </w:p>
        </w:tc>
        <w:tc>
          <w:tcPr>
            <w:tcW w:type="dxa" w:w="1900"/>
          </w:tcPr>
          <w:p>
            <w:r>
              <w:rPr>
                <w:b/>
                <w:color w:val="166534"/>
                <w:sz w:val="17"/>
              </w:rPr>
              <w:t>APPROVED - internal SDLC baseline</w:t>
            </w:r>
          </w:p>
        </w:tc>
        <w:tc>
          <w:tcPr>
            <w:tcW w:type="dxa" w:w="1300"/>
          </w:tcPr>
          <w:p>
            <w:r>
              <w:rPr>
                <w:b w:val="0"/>
                <w:sz w:val="17"/>
              </w:rPr>
              <w:t>8 September 2026</w:t>
            </w:r>
          </w:p>
        </w:tc>
        <w:tc>
          <w:tcPr>
            <w:tcW w:type="dxa" w:w="2060"/>
          </w:tcPr>
          <w:p>
            <w:r>
              <w:rPr>
                <w:b w:val="0"/>
                <w:sz w:val="17"/>
              </w:rPr>
              <w:t>Owner approval recorded in project documentation</w:t>
            </w:r>
          </w:p>
        </w:tc>
      </w:tr>
    </w:tbl>
    <w:p>
      <w:pPr>
        <w:spacing w:after="0"/>
      </w:pPr>
    </w:p>
    <w:p>
      <w:pPr>
        <w:spacing w:after="0" w:line="264" w:lineRule="auto"/>
      </w:pPr>
      <w:r>
        <w:rPr>
          <w:rFonts w:ascii="Calibri" w:hAnsi="Calibri"/>
          <w:b/>
          <w:i w:val="0"/>
          <w:color w:val="17365D"/>
          <w:sz w:val="21"/>
        </w:rPr>
        <w:t>Version-control note: Version 1.0 records owner approval for internal SDLC use. Later approved changes create a new policy version with change reason, effective date and migration instructions. Prior versions remain available for audit.</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b w:val="0"/>
        <w:i w:val="0"/>
        <w:color w:val="666666"/>
        <w:sz w:val="18"/>
      </w:rPr>
      <w:t xml:space="preserve">Owner-approved SDLC baseline | Legal validation pending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b/>
        <w:i w:val="0"/>
        <w:color w:val="666666"/>
        <w:sz w:val="18"/>
      </w:rPr>
      <w:t>KASHYAP GOTRA ADHIKARI PLATFORM  |  PRIVACY &amp; RETENTION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00" w:line="240" w:lineRule="auto" w:before="0"/>
      <w:contextualSpacing/>
    </w:pPr>
    <w:rPr>
      <w:rFonts w:asciiTheme="majorHAnsi" w:eastAsiaTheme="majorEastAsia" w:hAnsiTheme="majorHAnsi" w:cstheme="majorBidi" w:ascii="Calibri" w:hAnsi="Calibri"/>
      <w:b/>
      <w:color w:val="17365D"/>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40"/>
    </w:pPr>
    <w:rPr>
      <w:rFonts w:asciiTheme="majorHAnsi" w:eastAsiaTheme="majorEastAsia" w:hAnsiTheme="majorHAnsi" w:cstheme="majorBidi" w:ascii="Calibri" w:hAnsi="Calibri"/>
      <w:b w:val="0"/>
      <w:i/>
      <w:iCs/>
      <w:color w:val="666666"/>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Kashyap Adhikari Privacy and Data Retention Policy</dc:title>
  <dc:subject>Owner-approved internal SDLC baseline; legal validation pending before production</dc:subject>
  <dc:creator>Jyphra Technology Pvt. Ltd.</dc:creator>
  <cp:keywords>privacy, data protection, retention, genealogy, Nepal, SDLC</cp:keywords>
  <dc:description>Version 1.0 approved by the policy owner for internal SDLC use on 8 September 2026.</dc:description>
  <cp:lastModifiedBy>Jyphra Technology Pvt. Ltd.</cp:lastModifiedBy>
  <cp:revision>1</cp:revision>
  <dcterms:created xsi:type="dcterms:W3CDTF">2013-12-23T23:15:00Z</dcterms:created>
  <dcterms:modified xsi:type="dcterms:W3CDTF">2013-12-23T23:15:00Z</dcterms:modified>
  <cp:category/>
</cp:coreProperties>
</file>