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04214"/>
          <w:sz w:val="28"/>
        </w:rPr>
        <w:t>KASHYAP ADHIKARI</w:t>
        <w:br/>
        <w:t>GENEALOGY &amp; COMMUNITY PLATFORM</w:t>
      </w:r>
    </w:p>
    <w:p>
      <w:pPr>
        <w:pStyle w:val="Title"/>
        <w:jc w:val="center"/>
      </w:pPr>
      <w:r>
        <w:t>Final SDLC Execution &amp; Governance Specification</w:t>
      </w:r>
    </w:p>
    <w:p>
      <w:pPr>
        <w:jc w:val="center"/>
      </w:pPr>
      <w:r>
        <w:rPr>
          <w:color w:val="555555"/>
          <w:sz w:val="28"/>
        </w:rPr>
        <w:t>Frozen Development Execution Baseline v1.0</w:t>
      </w:r>
    </w:p>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880"/>
            <w:shd w:fill="704214"/>
            <w:vAlign w:val="center"/>
          </w:tcPr>
          <w:p>
            <w:r>
              <w:rPr>
                <w:b/>
                <w:color w:val="FFFFFF"/>
                <w:sz w:val="17"/>
              </w:rPr>
              <w:t>Document control</w:t>
            </w:r>
          </w:p>
        </w:tc>
        <w:tc>
          <w:tcPr>
            <w:tcW w:type="dxa" w:w="6912"/>
            <w:shd w:fill="704214"/>
            <w:vAlign w:val="center"/>
          </w:tcPr>
          <w:p>
            <w:r>
              <w:rPr>
                <w:b/>
                <w:color w:val="FFFFFF"/>
                <w:sz w:val="17"/>
              </w:rPr>
              <w:t>Approved value</w:t>
            </w:r>
          </w:p>
        </w:tc>
      </w:tr>
      <w:tr>
        <w:tc>
          <w:tcPr>
            <w:tcW w:type="dxa" w:w="2880"/>
            <w:vAlign w:val="top"/>
          </w:tcPr>
          <w:p>
            <w:r>
              <w:rPr>
                <w:sz w:val="17"/>
              </w:rPr>
              <w:t>Owner and approving organization</w:t>
            </w:r>
          </w:p>
        </w:tc>
        <w:tc>
          <w:tcPr>
            <w:tcW w:type="dxa" w:w="6912"/>
            <w:vAlign w:val="top"/>
          </w:tcPr>
          <w:p>
            <w:r>
              <w:rPr>
                <w:sz w:val="17"/>
              </w:rPr>
              <w:t>Jyphra Technology Pvt. Ltd.</w:t>
            </w:r>
          </w:p>
        </w:tc>
      </w:tr>
      <w:tr>
        <w:tc>
          <w:tcPr>
            <w:tcW w:type="dxa" w:w="2880"/>
            <w:vAlign w:val="top"/>
          </w:tcPr>
          <w:p>
            <w:r>
              <w:rPr>
                <w:sz w:val="17"/>
              </w:rPr>
              <w:t>Status</w:t>
            </w:r>
          </w:p>
        </w:tc>
        <w:tc>
          <w:tcPr>
            <w:tcW w:type="dxa" w:w="6912"/>
            <w:vAlign w:val="top"/>
          </w:tcPr>
          <w:p>
            <w:r>
              <w:rPr>
                <w:sz w:val="17"/>
              </w:rPr>
              <w:t>FROZEN FOR DEVELOPMENT EXECUTION</w:t>
            </w:r>
          </w:p>
        </w:tc>
      </w:tr>
      <w:tr>
        <w:tc>
          <w:tcPr>
            <w:tcW w:type="dxa" w:w="2880"/>
            <w:vAlign w:val="top"/>
          </w:tcPr>
          <w:p>
            <w:r>
              <w:rPr>
                <w:sz w:val="17"/>
              </w:rPr>
              <w:t>Effective date</w:t>
            </w:r>
          </w:p>
        </w:tc>
        <w:tc>
          <w:tcPr>
            <w:tcW w:type="dxa" w:w="6912"/>
            <w:vAlign w:val="top"/>
          </w:tcPr>
          <w:p>
            <w:r>
              <w:rPr>
                <w:sz w:val="17"/>
              </w:rPr>
              <w:t>8 September 2026</w:t>
            </w:r>
          </w:p>
        </w:tc>
      </w:tr>
      <w:tr>
        <w:tc>
          <w:tcPr>
            <w:tcW w:type="dxa" w:w="2880"/>
            <w:vAlign w:val="top"/>
          </w:tcPr>
          <w:p>
            <w:r>
              <w:rPr>
                <w:sz w:val="17"/>
              </w:rPr>
              <w:t>Release</w:t>
            </w:r>
          </w:p>
        </w:tc>
        <w:tc>
          <w:tcPr>
            <w:tcW w:type="dxa" w:w="6912"/>
            <w:vAlign w:val="top"/>
          </w:tcPr>
          <w:p>
            <w:r>
              <w:rPr>
                <w:sz w:val="17"/>
              </w:rPr>
              <w:t>Complete Release 1.0; no approved feature deferral</w:t>
            </w:r>
          </w:p>
        </w:tc>
      </w:tr>
      <w:tr>
        <w:tc>
          <w:tcPr>
            <w:tcW w:type="dxa" w:w="2880"/>
            <w:vAlign w:val="top"/>
          </w:tcPr>
          <w:p>
            <w:r>
              <w:rPr>
                <w:sz w:val="17"/>
              </w:rPr>
              <w:t>Governing requirements</w:t>
            </w:r>
          </w:p>
        </w:tc>
        <w:tc>
          <w:tcPr>
            <w:tcW w:type="dxa" w:w="6912"/>
            <w:vAlign w:val="top"/>
          </w:tcPr>
          <w:p>
            <w:r>
              <w:rPr>
                <w:sz w:val="17"/>
              </w:rPr>
              <w:t>BRD v1.0 and Master Requirements &amp; SDLC Specification v1.1</w:t>
            </w:r>
          </w:p>
        </w:tc>
      </w:tr>
      <w:tr>
        <w:tc>
          <w:tcPr>
            <w:tcW w:type="dxa" w:w="2880"/>
            <w:vAlign w:val="top"/>
          </w:tcPr>
          <w:p>
            <w:r>
              <w:rPr>
                <w:sz w:val="17"/>
              </w:rPr>
              <w:t>Delivery model</w:t>
            </w:r>
          </w:p>
        </w:tc>
        <w:tc>
          <w:tcPr>
            <w:tcW w:type="dxa" w:w="6912"/>
            <w:vAlign w:val="top"/>
          </w:tcPr>
          <w:p>
            <w:r>
              <w:rPr>
                <w:sz w:val="17"/>
              </w:rPr>
              <w:t>Jyphra-led hybrid team; external development agency managed and accepted by Jyphra</w:t>
            </w:r>
          </w:p>
        </w:tc>
      </w:tr>
      <w:tr>
        <w:tc>
          <w:tcPr>
            <w:tcW w:type="dxa" w:w="2880"/>
            <w:vAlign w:val="top"/>
          </w:tcPr>
          <w:p>
            <w:r>
              <w:rPr>
                <w:sz w:val="17"/>
              </w:rPr>
              <w:t>Delivery window</w:t>
            </w:r>
          </w:p>
        </w:tc>
        <w:tc>
          <w:tcPr>
            <w:tcW w:type="dxa" w:w="6912"/>
            <w:vAlign w:val="top"/>
          </w:tcPr>
          <w:p>
            <w:r>
              <w:rPr>
                <w:sz w:val="17"/>
              </w:rPr>
              <w:t>12–15 months</w:t>
            </w:r>
          </w:p>
        </w:tc>
      </w:tr>
      <w:tr>
        <w:tc>
          <w:tcPr>
            <w:tcW w:type="dxa" w:w="2880"/>
            <w:vAlign w:val="top"/>
          </w:tcPr>
          <w:p>
            <w:r>
              <w:rPr>
                <w:sz w:val="17"/>
              </w:rPr>
              <w:t>Scale baseline</w:t>
            </w:r>
          </w:p>
        </w:tc>
        <w:tc>
          <w:tcPr>
            <w:tcW w:type="dxa" w:w="6912"/>
            <w:vAlign w:val="top"/>
          </w:tcPr>
          <w:p>
            <w:r>
              <w:rPr>
                <w:sz w:val="17"/>
              </w:rPr>
              <w:t>100,000+ registered users; path to 500,000 without core redesign</w:t>
            </w:r>
          </w:p>
        </w:tc>
      </w:tr>
      <w:tr>
        <w:tc>
          <w:tcPr>
            <w:tcW w:type="dxa" w:w="2880"/>
            <w:vAlign w:val="top"/>
          </w:tcPr>
          <w:p>
            <w:r>
              <w:rPr>
                <w:sz w:val="17"/>
              </w:rPr>
              <w:t>Financial baseline</w:t>
            </w:r>
          </w:p>
        </w:tc>
        <w:tc>
          <w:tcPr>
            <w:tcW w:type="dxa" w:w="6912"/>
            <w:vAlign w:val="top"/>
          </w:tcPr>
          <w:p>
            <w:r>
              <w:rPr>
                <w:sz w:val="17"/>
              </w:rPr>
              <w:t>Recommended Production-Grade; NPR 43.36m implementation incl. contingency, excl. VAT</w:t>
            </w:r>
          </w:p>
        </w:tc>
      </w:tr>
      <w:tr>
        <w:tc>
          <w:tcPr>
            <w:tcW w:type="dxa" w:w="2880"/>
            <w:vAlign w:val="top"/>
          </w:tcPr>
          <w:p>
            <w:r>
              <w:rPr>
                <w:sz w:val="17"/>
              </w:rPr>
              <w:t>Change authority</w:t>
            </w:r>
          </w:p>
        </w:tc>
        <w:tc>
          <w:tcPr>
            <w:tcW w:type="dxa" w:w="6912"/>
            <w:vAlign w:val="top"/>
          </w:tcPr>
          <w:p>
            <w:r>
              <w:rPr>
                <w:sz w:val="17"/>
              </w:rPr>
              <w:t>Jyphra Product Owner under formal baseline change control</w:t>
            </w:r>
          </w:p>
        </w:tc>
      </w:tr>
    </w:tbl>
    <w:p>
      <w:r>
        <w:br w:type="page"/>
      </w:r>
    </w:p>
    <w:p>
      <w:pPr>
        <w:pStyle w:val="Heading1"/>
      </w:pPr>
      <w:r>
        <w:t>1. Purpose, authority and use</w:t>
      </w:r>
    </w:p>
    <w:p>
      <w:r>
        <w:t>This specification converts the frozen product baseline into the mandatory operating model for design, engineering, testing, data migration, deployment and handover. It supplements rather than replaces the Master Specification v1.1. If a conflict occurs, the Documentation Baseline &amp; Freeze Record v1.0 and approved change records determine precedence.</w:t>
      </w:r>
    </w:p>
    <w:p>
      <w:pPr>
        <w:pStyle w:val="ListBullet"/>
      </w:pPr>
      <w:r>
        <w:t>Every epic, story, design, API, database migration, test and release must trace to approved requirement identifiers.</w:t>
      </w:r>
    </w:p>
    <w:p>
      <w:pPr>
        <w:pStyle w:val="ListBullet"/>
      </w:pPr>
      <w:r>
        <w:t>The agency may propose implementation choices but may not change product scope, cultural authority, privacy controls, acceptance criteria or Jyphra ownership.</w:t>
      </w:r>
    </w:p>
    <w:p>
      <w:pPr>
        <w:pStyle w:val="ListBullet"/>
      </w:pPr>
      <w:r>
        <w:t>Pending cultural, legal and named-authority decisions are implemented behind controlled configuration or neutral fallback until approved.</w:t>
      </w:r>
    </w:p>
    <w:p>
      <w:pPr>
        <w:pStyle w:val="ListBullet"/>
      </w:pPr>
      <w:r>
        <w:t>Production deployment is prohibited until all applicable release gates have objective evidence.</w:t>
      </w:r>
    </w:p>
    <w:p>
      <w:pPr>
        <w:pStyle w:val="Heading1"/>
      </w:pPr>
      <w:r>
        <w:t>2. Frozen delivery principles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152"/>
            <w:shd w:fill="704214"/>
            <w:vAlign w:val="center"/>
          </w:tcPr>
          <w:p>
            <w:r>
              <w:rPr>
                <w:b/>
                <w:color w:val="FFFFFF"/>
                <w:sz w:val="17"/>
              </w:rPr>
              <w:t>ID</w:t>
            </w:r>
          </w:p>
        </w:tc>
        <w:tc>
          <w:tcPr>
            <w:tcW w:type="dxa" w:w="2088"/>
            <w:shd w:fill="704214"/>
            <w:vAlign w:val="center"/>
          </w:tcPr>
          <w:p>
            <w:r>
              <w:rPr>
                <w:b/>
                <w:color w:val="FFFFFF"/>
                <w:sz w:val="17"/>
              </w:rPr>
              <w:t>Principle</w:t>
            </w:r>
          </w:p>
        </w:tc>
        <w:tc>
          <w:tcPr>
            <w:tcW w:type="dxa" w:w="6552"/>
            <w:shd w:fill="704214"/>
            <w:vAlign w:val="center"/>
          </w:tcPr>
          <w:p>
            <w:r>
              <w:rPr>
                <w:b/>
                <w:color w:val="FFFFFF"/>
                <w:sz w:val="17"/>
              </w:rPr>
              <w:t>Mandatory interpretation</w:t>
            </w:r>
          </w:p>
        </w:tc>
      </w:tr>
      <w:tr>
        <w:tc>
          <w:tcPr>
            <w:tcW w:type="dxa" w:w="1152"/>
            <w:vAlign w:val="top"/>
          </w:tcPr>
          <w:p>
            <w:r>
              <w:rPr>
                <w:sz w:val="17"/>
              </w:rPr>
              <w:t>SDLC-P01</w:t>
            </w:r>
          </w:p>
        </w:tc>
        <w:tc>
          <w:tcPr>
            <w:tcW w:type="dxa" w:w="2088"/>
            <w:vAlign w:val="top"/>
          </w:tcPr>
          <w:p>
            <w:r>
              <w:rPr>
                <w:sz w:val="17"/>
              </w:rPr>
              <w:t>Complete Release 1.0</w:t>
            </w:r>
          </w:p>
        </w:tc>
        <w:tc>
          <w:tcPr>
            <w:tcW w:type="dxa" w:w="6552"/>
            <w:vAlign w:val="top"/>
          </w:tcPr>
          <w:p>
            <w:r>
              <w:rPr>
                <w:sz w:val="17"/>
              </w:rPr>
              <w:t>No feature may be silently moved to a later phase. Sequencing within development is allowed; scope removal requires change approval.</w:t>
            </w:r>
          </w:p>
        </w:tc>
      </w:tr>
      <w:tr>
        <w:tc>
          <w:tcPr>
            <w:tcW w:type="dxa" w:w="1152"/>
            <w:vAlign w:val="top"/>
          </w:tcPr>
          <w:p>
            <w:r>
              <w:rPr>
                <w:sz w:val="17"/>
              </w:rPr>
              <w:t>SDLC-P02</w:t>
            </w:r>
          </w:p>
        </w:tc>
        <w:tc>
          <w:tcPr>
            <w:tcW w:type="dxa" w:w="2088"/>
            <w:vAlign w:val="top"/>
          </w:tcPr>
          <w:p>
            <w:r>
              <w:rPr>
                <w:sz w:val="17"/>
              </w:rPr>
              <w:t>Person is not account</w:t>
            </w:r>
          </w:p>
        </w:tc>
        <w:tc>
          <w:tcPr>
            <w:tcW w:type="dxa" w:w="6552"/>
            <w:vAlign w:val="top"/>
          </w:tcPr>
          <w:p>
            <w:r>
              <w:rPr>
                <w:sz w:val="17"/>
              </w:rPr>
              <w:t>Genealogy Person records exist independently from login accounts; claiming links them only after verification.</w:t>
            </w:r>
          </w:p>
        </w:tc>
      </w:tr>
      <w:tr>
        <w:tc>
          <w:tcPr>
            <w:tcW w:type="dxa" w:w="1152"/>
            <w:vAlign w:val="top"/>
          </w:tcPr>
          <w:p>
            <w:r>
              <w:rPr>
                <w:sz w:val="17"/>
              </w:rPr>
              <w:t>SDLC-P03</w:t>
            </w:r>
          </w:p>
        </w:tc>
        <w:tc>
          <w:tcPr>
            <w:tcW w:type="dxa" w:w="2088"/>
            <w:vAlign w:val="top"/>
          </w:tcPr>
          <w:p>
            <w:r>
              <w:rPr>
                <w:sz w:val="17"/>
              </w:rPr>
              <w:t>Evidence before authority</w:t>
            </w:r>
          </w:p>
        </w:tc>
        <w:tc>
          <w:tcPr>
            <w:tcW w:type="dxa" w:w="6552"/>
            <w:vAlign w:val="top"/>
          </w:tcPr>
          <w:p>
            <w:r>
              <w:rPr>
                <w:sz w:val="17"/>
              </w:rPr>
              <w:t>Genealogy, cultural and administrative decisions must preserve source, reviewer, reason, version and audit trail.</w:t>
            </w:r>
          </w:p>
        </w:tc>
      </w:tr>
      <w:tr>
        <w:tc>
          <w:tcPr>
            <w:tcW w:type="dxa" w:w="1152"/>
            <w:vAlign w:val="top"/>
          </w:tcPr>
          <w:p>
            <w:r>
              <w:rPr>
                <w:sz w:val="17"/>
              </w:rPr>
              <w:t>SDLC-P04</w:t>
            </w:r>
          </w:p>
        </w:tc>
        <w:tc>
          <w:tcPr>
            <w:tcW w:type="dxa" w:w="2088"/>
            <w:vAlign w:val="top"/>
          </w:tcPr>
          <w:p>
            <w:r>
              <w:rPr>
                <w:sz w:val="17"/>
              </w:rPr>
              <w:t>Privacy by default</w:t>
            </w:r>
          </w:p>
        </w:tc>
        <w:tc>
          <w:tcPr>
            <w:tcW w:type="dxa" w:w="6552"/>
            <w:vAlign w:val="top"/>
          </w:tcPr>
          <w:p>
            <w:r>
              <w:rPr>
                <w:sz w:val="17"/>
              </w:rPr>
              <w:t>Field-level visibility, consent, minors, approximate map location and least privilege are designed before UI completion.</w:t>
            </w:r>
          </w:p>
        </w:tc>
      </w:tr>
      <w:tr>
        <w:tc>
          <w:tcPr>
            <w:tcW w:type="dxa" w:w="1152"/>
            <w:vAlign w:val="top"/>
          </w:tcPr>
          <w:p>
            <w:r>
              <w:rPr>
                <w:sz w:val="17"/>
              </w:rPr>
              <w:t>SDLC-P05</w:t>
            </w:r>
          </w:p>
        </w:tc>
        <w:tc>
          <w:tcPr>
            <w:tcW w:type="dxa" w:w="2088"/>
            <w:vAlign w:val="top"/>
          </w:tcPr>
          <w:p>
            <w:r>
              <w:rPr>
                <w:sz w:val="17"/>
              </w:rPr>
              <w:t>Secure delivery</w:t>
            </w:r>
          </w:p>
        </w:tc>
        <w:tc>
          <w:tcPr>
            <w:tcW w:type="dxa" w:w="6552"/>
            <w:vAlign w:val="top"/>
          </w:tcPr>
          <w:p>
            <w:r>
              <w:rPr>
                <w:sz w:val="17"/>
              </w:rPr>
              <w:t>Security, abuse prevention and auditability are acceptance requirements, not end-stage additions.</w:t>
            </w:r>
          </w:p>
        </w:tc>
      </w:tr>
      <w:tr>
        <w:tc>
          <w:tcPr>
            <w:tcW w:type="dxa" w:w="1152"/>
            <w:vAlign w:val="top"/>
          </w:tcPr>
          <w:p>
            <w:r>
              <w:rPr>
                <w:sz w:val="17"/>
              </w:rPr>
              <w:t>SDLC-P06</w:t>
            </w:r>
          </w:p>
        </w:tc>
        <w:tc>
          <w:tcPr>
            <w:tcW w:type="dxa" w:w="2088"/>
            <w:vAlign w:val="top"/>
          </w:tcPr>
          <w:p>
            <w:r>
              <w:rPr>
                <w:sz w:val="17"/>
              </w:rPr>
              <w:t>Jyphra control</w:t>
            </w:r>
          </w:p>
        </w:tc>
        <w:tc>
          <w:tcPr>
            <w:tcW w:type="dxa" w:w="6552"/>
            <w:vAlign w:val="top"/>
          </w:tcPr>
          <w:p>
            <w:r>
              <w:rPr>
                <w:sz w:val="17"/>
              </w:rPr>
              <w:t>Repositories, environments, secrets, cloud billing, app-store accounts and final acceptance remain under Jyphra.</w:t>
            </w:r>
          </w:p>
        </w:tc>
      </w:tr>
      <w:tr>
        <w:tc>
          <w:tcPr>
            <w:tcW w:type="dxa" w:w="1152"/>
            <w:vAlign w:val="top"/>
          </w:tcPr>
          <w:p>
            <w:r>
              <w:rPr>
                <w:sz w:val="17"/>
              </w:rPr>
              <w:t>SDLC-P07</w:t>
            </w:r>
          </w:p>
        </w:tc>
        <w:tc>
          <w:tcPr>
            <w:tcW w:type="dxa" w:w="2088"/>
            <w:vAlign w:val="top"/>
          </w:tcPr>
          <w:p>
            <w:r>
              <w:rPr>
                <w:sz w:val="17"/>
              </w:rPr>
              <w:t>Automate quality</w:t>
            </w:r>
          </w:p>
        </w:tc>
        <w:tc>
          <w:tcPr>
            <w:tcW w:type="dxa" w:w="6552"/>
            <w:vAlign w:val="top"/>
          </w:tcPr>
          <w:p>
            <w:r>
              <w:rPr>
                <w:sz w:val="17"/>
              </w:rPr>
              <w:t>Repeatable checks belong in CI/CD; manual evidence supplements but does not replace automation.</w:t>
            </w:r>
          </w:p>
        </w:tc>
      </w:tr>
      <w:tr>
        <w:tc>
          <w:tcPr>
            <w:tcW w:type="dxa" w:w="1152"/>
            <w:vAlign w:val="top"/>
          </w:tcPr>
          <w:p>
            <w:r>
              <w:rPr>
                <w:sz w:val="17"/>
              </w:rPr>
              <w:t>SDLC-P08</w:t>
            </w:r>
          </w:p>
        </w:tc>
        <w:tc>
          <w:tcPr>
            <w:tcW w:type="dxa" w:w="2088"/>
            <w:vAlign w:val="top"/>
          </w:tcPr>
          <w:p>
            <w:r>
              <w:rPr>
                <w:sz w:val="17"/>
              </w:rPr>
              <w:t>Reversible change</w:t>
            </w:r>
          </w:p>
        </w:tc>
        <w:tc>
          <w:tcPr>
            <w:tcW w:type="dxa" w:w="6552"/>
            <w:vAlign w:val="top"/>
          </w:tcPr>
          <w:p>
            <w:r>
              <w:rPr>
                <w:sz w:val="17"/>
              </w:rPr>
              <w:t>Migrations, rule versions, feature activation and releases require rollback or compensating procedures.</w:t>
            </w:r>
          </w:p>
        </w:tc>
      </w:tr>
    </w:tbl>
    <w:p>
      <w:pPr>
        <w:pStyle w:val="Heading1"/>
      </w:pPr>
      <w:r>
        <w:t>3. Delivery governance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448"/>
            <w:shd w:fill="704214"/>
            <w:vAlign w:val="center"/>
          </w:tcPr>
          <w:p>
            <w:r>
              <w:rPr>
                <w:b/>
                <w:color w:val="FFFFFF"/>
                <w:sz w:val="17"/>
              </w:rPr>
              <w:t>Forum / control</w:t>
            </w:r>
          </w:p>
        </w:tc>
        <w:tc>
          <w:tcPr>
            <w:tcW w:type="dxa" w:w="1728"/>
            <w:shd w:fill="704214"/>
            <w:vAlign w:val="center"/>
          </w:tcPr>
          <w:p>
            <w:r>
              <w:rPr>
                <w:b/>
                <w:color w:val="FFFFFF"/>
                <w:sz w:val="17"/>
              </w:rPr>
              <w:t>Cadence</w:t>
            </w:r>
          </w:p>
        </w:tc>
        <w:tc>
          <w:tcPr>
            <w:tcW w:type="dxa" w:w="2448"/>
            <w:shd w:fill="704214"/>
            <w:vAlign w:val="center"/>
          </w:tcPr>
          <w:p>
            <w:r>
              <w:rPr>
                <w:b/>
                <w:color w:val="FFFFFF"/>
                <w:sz w:val="17"/>
              </w:rPr>
              <w:t>Chair / owner</w:t>
            </w:r>
          </w:p>
        </w:tc>
        <w:tc>
          <w:tcPr>
            <w:tcW w:type="dxa" w:w="3168"/>
            <w:shd w:fill="704214"/>
            <w:vAlign w:val="center"/>
          </w:tcPr>
          <w:p>
            <w:r>
              <w:rPr>
                <w:b/>
                <w:color w:val="FFFFFF"/>
                <w:sz w:val="17"/>
              </w:rPr>
              <w:t>Required output</w:t>
            </w:r>
          </w:p>
        </w:tc>
      </w:tr>
      <w:tr>
        <w:tc>
          <w:tcPr>
            <w:tcW w:type="dxa" w:w="2448"/>
            <w:vAlign w:val="top"/>
          </w:tcPr>
          <w:p>
            <w:r>
              <w:rPr>
                <w:sz w:val="17"/>
              </w:rPr>
              <w:t>Executive steering</w:t>
            </w:r>
          </w:p>
        </w:tc>
        <w:tc>
          <w:tcPr>
            <w:tcW w:type="dxa" w:w="1728"/>
            <w:vAlign w:val="top"/>
          </w:tcPr>
          <w:p>
            <w:r>
              <w:rPr>
                <w:sz w:val="17"/>
              </w:rPr>
              <w:t>Monthly and at funding gates</w:t>
            </w:r>
          </w:p>
        </w:tc>
        <w:tc>
          <w:tcPr>
            <w:tcW w:type="dxa" w:w="2448"/>
            <w:vAlign w:val="top"/>
          </w:tcPr>
          <w:p>
            <w:r>
              <w:rPr>
                <w:sz w:val="17"/>
              </w:rPr>
              <w:t>Jyphra Sponsor</w:t>
            </w:r>
          </w:p>
        </w:tc>
        <w:tc>
          <w:tcPr>
            <w:tcW w:type="dxa" w:w="3168"/>
            <w:vAlign w:val="top"/>
          </w:tcPr>
          <w:p>
            <w:r>
              <w:rPr>
                <w:sz w:val="17"/>
              </w:rPr>
              <w:t>Scope, budget, risk and gate decisions</w:t>
            </w:r>
          </w:p>
        </w:tc>
      </w:tr>
      <w:tr>
        <w:tc>
          <w:tcPr>
            <w:tcW w:type="dxa" w:w="2448"/>
            <w:vAlign w:val="top"/>
          </w:tcPr>
          <w:p>
            <w:r>
              <w:rPr>
                <w:sz w:val="17"/>
              </w:rPr>
              <w:t>Product council</w:t>
            </w:r>
          </w:p>
        </w:tc>
        <w:tc>
          <w:tcPr>
            <w:tcW w:type="dxa" w:w="1728"/>
            <w:vAlign w:val="top"/>
          </w:tcPr>
          <w:p>
            <w:r>
              <w:rPr>
                <w:sz w:val="17"/>
              </w:rPr>
              <w:t>Weekly</w:t>
            </w:r>
          </w:p>
        </w:tc>
        <w:tc>
          <w:tcPr>
            <w:tcW w:type="dxa" w:w="2448"/>
            <w:vAlign w:val="top"/>
          </w:tcPr>
          <w:p>
            <w:r>
              <w:rPr>
                <w:sz w:val="17"/>
              </w:rPr>
              <w:t>Jyphra Product Owner</w:t>
            </w:r>
          </w:p>
        </w:tc>
        <w:tc>
          <w:tcPr>
            <w:tcW w:type="dxa" w:w="3168"/>
            <w:vAlign w:val="top"/>
          </w:tcPr>
          <w:p>
            <w:r>
              <w:rPr>
                <w:sz w:val="17"/>
              </w:rPr>
              <w:t>Priorities, clarifications and accepted stories</w:t>
            </w:r>
          </w:p>
        </w:tc>
      </w:tr>
      <w:tr>
        <w:tc>
          <w:tcPr>
            <w:tcW w:type="dxa" w:w="2448"/>
            <w:vAlign w:val="top"/>
          </w:tcPr>
          <w:p>
            <w:r>
              <w:rPr>
                <w:sz w:val="17"/>
              </w:rPr>
              <w:t>Architecture review</w:t>
            </w:r>
          </w:p>
        </w:tc>
        <w:tc>
          <w:tcPr>
            <w:tcW w:type="dxa" w:w="1728"/>
            <w:vAlign w:val="top"/>
          </w:tcPr>
          <w:p>
            <w:r>
              <w:rPr>
                <w:sz w:val="17"/>
              </w:rPr>
              <w:t>Biweekly / decision-triggered</w:t>
            </w:r>
          </w:p>
        </w:tc>
        <w:tc>
          <w:tcPr>
            <w:tcW w:type="dxa" w:w="2448"/>
            <w:vAlign w:val="top"/>
          </w:tcPr>
          <w:p>
            <w:r>
              <w:rPr>
                <w:sz w:val="17"/>
              </w:rPr>
              <w:t>Jyphra Technology Lead</w:t>
            </w:r>
          </w:p>
        </w:tc>
        <w:tc>
          <w:tcPr>
            <w:tcW w:type="dxa" w:w="3168"/>
            <w:vAlign w:val="top"/>
          </w:tcPr>
          <w:p>
            <w:r>
              <w:rPr>
                <w:sz w:val="17"/>
              </w:rPr>
              <w:t>Approved ADRs, NFR impacts and technical debt decisions</w:t>
            </w:r>
          </w:p>
        </w:tc>
      </w:tr>
      <w:tr>
        <w:tc>
          <w:tcPr>
            <w:tcW w:type="dxa" w:w="2448"/>
            <w:vAlign w:val="top"/>
          </w:tcPr>
          <w:p>
            <w:r>
              <w:rPr>
                <w:sz w:val="17"/>
              </w:rPr>
              <w:t>Cultural/genealogy review</w:t>
            </w:r>
          </w:p>
        </w:tc>
        <w:tc>
          <w:tcPr>
            <w:tcW w:type="dxa" w:w="1728"/>
            <w:vAlign w:val="top"/>
          </w:tcPr>
          <w:p>
            <w:r>
              <w:rPr>
                <w:sz w:val="17"/>
              </w:rPr>
              <w:t>Weekly while active</w:t>
            </w:r>
          </w:p>
        </w:tc>
        <w:tc>
          <w:tcPr>
            <w:tcW w:type="dxa" w:w="2448"/>
            <w:vAlign w:val="top"/>
          </w:tcPr>
          <w:p>
            <w:r>
              <w:rPr>
                <w:sz w:val="17"/>
              </w:rPr>
              <w:t>Authorized domain leads</w:t>
            </w:r>
          </w:p>
        </w:tc>
        <w:tc>
          <w:tcPr>
            <w:tcW w:type="dxa" w:w="3168"/>
            <w:vAlign w:val="top"/>
          </w:tcPr>
          <w:p>
            <w:r>
              <w:rPr>
                <w:sz w:val="17"/>
              </w:rPr>
              <w:t>Rule/evidence decisions and unresolved-case log</w:t>
            </w:r>
          </w:p>
        </w:tc>
      </w:tr>
      <w:tr>
        <w:tc>
          <w:tcPr>
            <w:tcW w:type="dxa" w:w="2448"/>
            <w:vAlign w:val="top"/>
          </w:tcPr>
          <w:p>
            <w:r>
              <w:rPr>
                <w:sz w:val="17"/>
              </w:rPr>
              <w:t>Delivery review</w:t>
            </w:r>
          </w:p>
        </w:tc>
        <w:tc>
          <w:tcPr>
            <w:tcW w:type="dxa" w:w="1728"/>
            <w:vAlign w:val="top"/>
          </w:tcPr>
          <w:p>
            <w:r>
              <w:rPr>
                <w:sz w:val="17"/>
              </w:rPr>
              <w:t>Weekly</w:t>
            </w:r>
          </w:p>
        </w:tc>
        <w:tc>
          <w:tcPr>
            <w:tcW w:type="dxa" w:w="2448"/>
            <w:vAlign w:val="top"/>
          </w:tcPr>
          <w:p>
            <w:r>
              <w:rPr>
                <w:sz w:val="17"/>
              </w:rPr>
              <w:t>Program Manager</w:t>
            </w:r>
          </w:p>
        </w:tc>
        <w:tc>
          <w:tcPr>
            <w:tcW w:type="dxa" w:w="3168"/>
            <w:vAlign w:val="top"/>
          </w:tcPr>
          <w:p>
            <w:r>
              <w:rPr>
                <w:sz w:val="17"/>
              </w:rPr>
              <w:t>Progress, forecast, blockers, dependencies and actions</w:t>
            </w:r>
          </w:p>
        </w:tc>
      </w:tr>
      <w:tr>
        <w:tc>
          <w:tcPr>
            <w:tcW w:type="dxa" w:w="2448"/>
            <w:vAlign w:val="top"/>
          </w:tcPr>
          <w:p>
            <w:r>
              <w:rPr>
                <w:sz w:val="17"/>
              </w:rPr>
              <w:t>Sprint ceremonies</w:t>
            </w:r>
          </w:p>
        </w:tc>
        <w:tc>
          <w:tcPr>
            <w:tcW w:type="dxa" w:w="1728"/>
            <w:vAlign w:val="top"/>
          </w:tcPr>
          <w:p>
            <w:r>
              <w:rPr>
                <w:sz w:val="17"/>
              </w:rPr>
              <w:t>Two-week sprint</w:t>
            </w:r>
          </w:p>
        </w:tc>
        <w:tc>
          <w:tcPr>
            <w:tcW w:type="dxa" w:w="2448"/>
            <w:vAlign w:val="top"/>
          </w:tcPr>
          <w:p>
            <w:r>
              <w:rPr>
                <w:sz w:val="17"/>
              </w:rPr>
              <w:t>Scrum/Delivery Lead</w:t>
            </w:r>
          </w:p>
        </w:tc>
        <w:tc>
          <w:tcPr>
            <w:tcW w:type="dxa" w:w="3168"/>
            <w:vAlign w:val="top"/>
          </w:tcPr>
          <w:p>
            <w:r>
              <w:rPr>
                <w:sz w:val="17"/>
              </w:rPr>
              <w:t>Goal, committed backlog, demo and retrospective actions</w:t>
            </w:r>
          </w:p>
        </w:tc>
      </w:tr>
      <w:tr>
        <w:tc>
          <w:tcPr>
            <w:tcW w:type="dxa" w:w="2448"/>
            <w:vAlign w:val="top"/>
          </w:tcPr>
          <w:p>
            <w:r>
              <w:rPr>
                <w:sz w:val="17"/>
              </w:rPr>
              <w:t>Security/privacy review</w:t>
            </w:r>
          </w:p>
        </w:tc>
        <w:tc>
          <w:tcPr>
            <w:tcW w:type="dxa" w:w="1728"/>
            <w:vAlign w:val="top"/>
          </w:tcPr>
          <w:p>
            <w:r>
              <w:rPr>
                <w:sz w:val="17"/>
              </w:rPr>
              <w:t>Each epic and release</w:t>
            </w:r>
          </w:p>
        </w:tc>
        <w:tc>
          <w:tcPr>
            <w:tcW w:type="dxa" w:w="2448"/>
            <w:vAlign w:val="top"/>
          </w:tcPr>
          <w:p>
            <w:r>
              <w:rPr>
                <w:sz w:val="17"/>
              </w:rPr>
              <w:t>Security Lead + DPO</w:t>
            </w:r>
          </w:p>
        </w:tc>
        <w:tc>
          <w:tcPr>
            <w:tcW w:type="dxa" w:w="3168"/>
            <w:vAlign w:val="top"/>
          </w:tcPr>
          <w:p>
            <w:r>
              <w:rPr>
                <w:sz w:val="17"/>
              </w:rPr>
              <w:t>Threat/privacy findings and acceptance evidence</w:t>
            </w:r>
          </w:p>
        </w:tc>
      </w:tr>
      <w:tr>
        <w:tc>
          <w:tcPr>
            <w:tcW w:type="dxa" w:w="2448"/>
            <w:vAlign w:val="top"/>
          </w:tcPr>
          <w:p>
            <w:r>
              <w:rPr>
                <w:sz w:val="17"/>
              </w:rPr>
              <w:t>Release readiness</w:t>
            </w:r>
          </w:p>
        </w:tc>
        <w:tc>
          <w:tcPr>
            <w:tcW w:type="dxa" w:w="1728"/>
            <w:vAlign w:val="top"/>
          </w:tcPr>
          <w:p>
            <w:r>
              <w:rPr>
                <w:sz w:val="17"/>
              </w:rPr>
              <w:t>Per candidate</w:t>
            </w:r>
          </w:p>
        </w:tc>
        <w:tc>
          <w:tcPr>
            <w:tcW w:type="dxa" w:w="2448"/>
            <w:vAlign w:val="top"/>
          </w:tcPr>
          <w:p>
            <w:r>
              <w:rPr>
                <w:sz w:val="17"/>
              </w:rPr>
              <w:t>Release Manager</w:t>
            </w:r>
          </w:p>
        </w:tc>
        <w:tc>
          <w:tcPr>
            <w:tcW w:type="dxa" w:w="3168"/>
            <w:vAlign w:val="top"/>
          </w:tcPr>
          <w:p>
            <w:r>
              <w:rPr>
                <w:sz w:val="17"/>
              </w:rPr>
              <w:t>Go/no-go recommendation and rollback readiness</w:t>
            </w:r>
          </w:p>
        </w:tc>
      </w:tr>
    </w:tbl>
    <w:p>
      <w:pPr>
        <w:pStyle w:val="Heading1"/>
      </w:pPr>
      <w:r>
        <w:t>4. Lifecycle and master schedule</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792"/>
            <w:shd w:fill="704214"/>
            <w:vAlign w:val="center"/>
          </w:tcPr>
          <w:p>
            <w:r>
              <w:rPr>
                <w:b/>
                <w:color w:val="FFFFFF"/>
                <w:sz w:val="17"/>
              </w:rPr>
              <w:t>Phase</w:t>
            </w:r>
          </w:p>
        </w:tc>
        <w:tc>
          <w:tcPr>
            <w:tcW w:type="dxa" w:w="2016"/>
            <w:shd w:fill="704214"/>
            <w:vAlign w:val="center"/>
          </w:tcPr>
          <w:p>
            <w:r>
              <w:rPr>
                <w:b/>
                <w:color w:val="FFFFFF"/>
                <w:sz w:val="17"/>
              </w:rPr>
              <w:t>Name</w:t>
            </w:r>
          </w:p>
        </w:tc>
        <w:tc>
          <w:tcPr>
            <w:tcW w:type="dxa" w:w="1512"/>
            <w:shd w:fill="704214"/>
            <w:vAlign w:val="center"/>
          </w:tcPr>
          <w:p>
            <w:r>
              <w:rPr>
                <w:b/>
                <w:color w:val="FFFFFF"/>
                <w:sz w:val="17"/>
              </w:rPr>
              <w:t>Indicative timing</w:t>
            </w:r>
          </w:p>
        </w:tc>
        <w:tc>
          <w:tcPr>
            <w:tcW w:type="dxa" w:w="4680"/>
            <w:shd w:fill="704214"/>
            <w:vAlign w:val="center"/>
          </w:tcPr>
          <w:p>
            <w:r>
              <w:rPr>
                <w:b/>
                <w:color w:val="FFFFFF"/>
                <w:sz w:val="17"/>
              </w:rPr>
              <w:t>Exit deliverables</w:t>
            </w:r>
          </w:p>
        </w:tc>
        <w:tc>
          <w:tcPr>
            <w:tcW w:type="dxa" w:w="792"/>
            <w:shd w:fill="704214"/>
            <w:vAlign w:val="center"/>
          </w:tcPr>
          <w:p>
            <w:r>
              <w:rPr>
                <w:b/>
                <w:color w:val="FFFFFF"/>
                <w:sz w:val="17"/>
              </w:rPr>
              <w:t>Gate</w:t>
            </w:r>
          </w:p>
        </w:tc>
      </w:tr>
      <w:tr>
        <w:tc>
          <w:tcPr>
            <w:tcW w:type="dxa" w:w="792"/>
            <w:vAlign w:val="top"/>
          </w:tcPr>
          <w:p>
            <w:r>
              <w:rPr>
                <w:sz w:val="17"/>
              </w:rPr>
              <w:t>P0</w:t>
            </w:r>
          </w:p>
        </w:tc>
        <w:tc>
          <w:tcPr>
            <w:tcW w:type="dxa" w:w="2016"/>
            <w:vAlign w:val="top"/>
          </w:tcPr>
          <w:p>
            <w:r>
              <w:rPr>
                <w:sz w:val="17"/>
              </w:rPr>
              <w:t>Mobilize and baseline</w:t>
            </w:r>
          </w:p>
        </w:tc>
        <w:tc>
          <w:tcPr>
            <w:tcW w:type="dxa" w:w="1512"/>
            <w:vAlign w:val="top"/>
          </w:tcPr>
          <w:p>
            <w:r>
              <w:rPr>
                <w:sz w:val="17"/>
              </w:rPr>
              <w:t>Weeks 1–4</w:t>
            </w:r>
          </w:p>
        </w:tc>
        <w:tc>
          <w:tcPr>
            <w:tcW w:type="dxa" w:w="4680"/>
            <w:vAlign w:val="top"/>
          </w:tcPr>
          <w:p>
            <w:r>
              <w:rPr>
                <w:sz w:val="17"/>
              </w:rPr>
              <w:t>Charter, team, repositories, environments, backlog seed, risk register</w:t>
            </w:r>
          </w:p>
        </w:tc>
        <w:tc>
          <w:tcPr>
            <w:tcW w:type="dxa" w:w="792"/>
            <w:vAlign w:val="top"/>
          </w:tcPr>
          <w:p>
            <w:r>
              <w:rPr>
                <w:sz w:val="17"/>
              </w:rPr>
              <w:t>G0</w:t>
            </w:r>
          </w:p>
        </w:tc>
      </w:tr>
      <w:tr>
        <w:tc>
          <w:tcPr>
            <w:tcW w:type="dxa" w:w="792"/>
            <w:vAlign w:val="top"/>
          </w:tcPr>
          <w:p>
            <w:r>
              <w:rPr>
                <w:sz w:val="17"/>
              </w:rPr>
              <w:t>P1</w:t>
            </w:r>
          </w:p>
        </w:tc>
        <w:tc>
          <w:tcPr>
            <w:tcW w:type="dxa" w:w="2016"/>
            <w:vAlign w:val="top"/>
          </w:tcPr>
          <w:p>
            <w:r>
              <w:rPr>
                <w:sz w:val="17"/>
              </w:rPr>
              <w:t>Discovery, UX and architecture</w:t>
            </w:r>
          </w:p>
        </w:tc>
        <w:tc>
          <w:tcPr>
            <w:tcW w:type="dxa" w:w="1512"/>
            <w:vAlign w:val="top"/>
          </w:tcPr>
          <w:p>
            <w:r>
              <w:rPr>
                <w:sz w:val="17"/>
              </w:rPr>
              <w:t>Weeks 3–12</w:t>
            </w:r>
          </w:p>
        </w:tc>
        <w:tc>
          <w:tcPr>
            <w:tcW w:type="dxa" w:w="4680"/>
            <w:vAlign w:val="top"/>
          </w:tcPr>
          <w:p>
            <w:r>
              <w:rPr>
                <w:sz w:val="17"/>
              </w:rPr>
              <w:t>Validated journeys, prototype, architecture, domain models, threat model</w:t>
            </w:r>
          </w:p>
        </w:tc>
        <w:tc>
          <w:tcPr>
            <w:tcW w:type="dxa" w:w="792"/>
            <w:vAlign w:val="top"/>
          </w:tcPr>
          <w:p>
            <w:r>
              <w:rPr>
                <w:sz w:val="17"/>
              </w:rPr>
              <w:t>G1</w:t>
            </w:r>
          </w:p>
        </w:tc>
      </w:tr>
      <w:tr>
        <w:tc>
          <w:tcPr>
            <w:tcW w:type="dxa" w:w="792"/>
            <w:vAlign w:val="top"/>
          </w:tcPr>
          <w:p>
            <w:r>
              <w:rPr>
                <w:sz w:val="17"/>
              </w:rPr>
              <w:t>P2</w:t>
            </w:r>
          </w:p>
        </w:tc>
        <w:tc>
          <w:tcPr>
            <w:tcW w:type="dxa" w:w="2016"/>
            <w:vAlign w:val="top"/>
          </w:tcPr>
          <w:p>
            <w:r>
              <w:rPr>
                <w:sz w:val="17"/>
              </w:rPr>
              <w:t>Engineering foundations</w:t>
            </w:r>
          </w:p>
        </w:tc>
        <w:tc>
          <w:tcPr>
            <w:tcW w:type="dxa" w:w="1512"/>
            <w:vAlign w:val="top"/>
          </w:tcPr>
          <w:p>
            <w:r>
              <w:rPr>
                <w:sz w:val="17"/>
              </w:rPr>
              <w:t>Weeks 8–20</w:t>
            </w:r>
          </w:p>
        </w:tc>
        <w:tc>
          <w:tcPr>
            <w:tcW w:type="dxa" w:w="4680"/>
            <w:vAlign w:val="top"/>
          </w:tcPr>
          <w:p>
            <w:r>
              <w:rPr>
                <w:sz w:val="17"/>
              </w:rPr>
              <w:t>Identity, account/person separation, platform skeleton, CI/CD, audit, localization</w:t>
            </w:r>
          </w:p>
        </w:tc>
        <w:tc>
          <w:tcPr>
            <w:tcW w:type="dxa" w:w="792"/>
            <w:vAlign w:val="top"/>
          </w:tcPr>
          <w:p>
            <w:r>
              <w:rPr>
                <w:sz w:val="17"/>
              </w:rPr>
              <w:t>G2</w:t>
            </w:r>
          </w:p>
        </w:tc>
      </w:tr>
      <w:tr>
        <w:tc>
          <w:tcPr>
            <w:tcW w:type="dxa" w:w="792"/>
            <w:vAlign w:val="top"/>
          </w:tcPr>
          <w:p>
            <w:r>
              <w:rPr>
                <w:sz w:val="17"/>
              </w:rPr>
              <w:t>P3</w:t>
            </w:r>
          </w:p>
        </w:tc>
        <w:tc>
          <w:tcPr>
            <w:tcW w:type="dxa" w:w="2016"/>
            <w:vAlign w:val="top"/>
          </w:tcPr>
          <w:p>
            <w:r>
              <w:rPr>
                <w:sz w:val="17"/>
              </w:rPr>
              <w:t>Core genealogy and governance</w:t>
            </w:r>
          </w:p>
        </w:tc>
        <w:tc>
          <w:tcPr>
            <w:tcW w:type="dxa" w:w="1512"/>
            <w:vAlign w:val="top"/>
          </w:tcPr>
          <w:p>
            <w:r>
              <w:rPr>
                <w:sz w:val="17"/>
              </w:rPr>
              <w:t>Weeks 14–34</w:t>
            </w:r>
          </w:p>
        </w:tc>
        <w:tc>
          <w:tcPr>
            <w:tcW w:type="dxa" w:w="4680"/>
            <w:vAlign w:val="top"/>
          </w:tcPr>
          <w:p>
            <w:r>
              <w:rPr>
                <w:sz w:val="17"/>
              </w:rPr>
              <w:t>Tree, search, claiming, change requests, merge, evidence, admin workflows</w:t>
            </w:r>
          </w:p>
        </w:tc>
        <w:tc>
          <w:tcPr>
            <w:tcW w:type="dxa" w:w="792"/>
            <w:vAlign w:val="top"/>
          </w:tcPr>
          <w:p>
            <w:r>
              <w:rPr>
                <w:sz w:val="17"/>
              </w:rPr>
              <w:t>G3</w:t>
            </w:r>
          </w:p>
        </w:tc>
      </w:tr>
      <w:tr>
        <w:tc>
          <w:tcPr>
            <w:tcW w:type="dxa" w:w="792"/>
            <w:vAlign w:val="top"/>
          </w:tcPr>
          <w:p>
            <w:r>
              <w:rPr>
                <w:sz w:val="17"/>
              </w:rPr>
              <w:t>P4</w:t>
            </w:r>
          </w:p>
        </w:tc>
        <w:tc>
          <w:tcPr>
            <w:tcW w:type="dxa" w:w="2016"/>
            <w:vAlign w:val="top"/>
          </w:tcPr>
          <w:p>
            <w:r>
              <w:rPr>
                <w:sz w:val="17"/>
              </w:rPr>
              <w:t>Community and cultural capabilities</w:t>
            </w:r>
          </w:p>
        </w:tc>
        <w:tc>
          <w:tcPr>
            <w:tcW w:type="dxa" w:w="1512"/>
            <w:vAlign w:val="top"/>
          </w:tcPr>
          <w:p>
            <w:r>
              <w:rPr>
                <w:sz w:val="17"/>
              </w:rPr>
              <w:t>Weeks 24–44</w:t>
            </w:r>
          </w:p>
        </w:tc>
        <w:tc>
          <w:tcPr>
            <w:tcW w:type="dxa" w:w="4680"/>
            <w:vAlign w:val="top"/>
          </w:tcPr>
          <w:p>
            <w:r>
              <w:rPr>
                <w:sz w:val="17"/>
              </w:rPr>
              <w:t>Content, calendar, notifications, invitations, posts, map, chat, rule engines</w:t>
            </w:r>
          </w:p>
        </w:tc>
        <w:tc>
          <w:tcPr>
            <w:tcW w:type="dxa" w:w="792"/>
            <w:vAlign w:val="top"/>
          </w:tcPr>
          <w:p>
            <w:r>
              <w:rPr>
                <w:sz w:val="17"/>
              </w:rPr>
              <w:t>G4</w:t>
            </w:r>
          </w:p>
        </w:tc>
      </w:tr>
      <w:tr>
        <w:tc>
          <w:tcPr>
            <w:tcW w:type="dxa" w:w="792"/>
            <w:vAlign w:val="top"/>
          </w:tcPr>
          <w:p>
            <w:r>
              <w:rPr>
                <w:sz w:val="17"/>
              </w:rPr>
              <w:t>P5</w:t>
            </w:r>
          </w:p>
        </w:tc>
        <w:tc>
          <w:tcPr>
            <w:tcW w:type="dxa" w:w="2016"/>
            <w:vAlign w:val="top"/>
          </w:tcPr>
          <w:p>
            <w:r>
              <w:rPr>
                <w:sz w:val="17"/>
              </w:rPr>
              <w:t>Integration, migration and hardening</w:t>
            </w:r>
          </w:p>
        </w:tc>
        <w:tc>
          <w:tcPr>
            <w:tcW w:type="dxa" w:w="1512"/>
            <w:vAlign w:val="top"/>
          </w:tcPr>
          <w:p>
            <w:r>
              <w:rPr>
                <w:sz w:val="17"/>
              </w:rPr>
              <w:t>Weeks 38–56</w:t>
            </w:r>
          </w:p>
        </w:tc>
        <w:tc>
          <w:tcPr>
            <w:tcW w:type="dxa" w:w="4680"/>
            <w:vAlign w:val="top"/>
          </w:tcPr>
          <w:p>
            <w:r>
              <w:rPr>
                <w:sz w:val="17"/>
              </w:rPr>
              <w:t>Migration rehearsal, E2E, accessibility, performance, security, resilience</w:t>
            </w:r>
          </w:p>
        </w:tc>
        <w:tc>
          <w:tcPr>
            <w:tcW w:type="dxa" w:w="792"/>
            <w:vAlign w:val="top"/>
          </w:tcPr>
          <w:p>
            <w:r>
              <w:rPr>
                <w:sz w:val="17"/>
              </w:rPr>
              <w:t>G5</w:t>
            </w:r>
          </w:p>
        </w:tc>
      </w:tr>
      <w:tr>
        <w:tc>
          <w:tcPr>
            <w:tcW w:type="dxa" w:w="792"/>
            <w:vAlign w:val="top"/>
          </w:tcPr>
          <w:p>
            <w:r>
              <w:rPr>
                <w:sz w:val="17"/>
              </w:rPr>
              <w:t>P6</w:t>
            </w:r>
          </w:p>
        </w:tc>
        <w:tc>
          <w:tcPr>
            <w:tcW w:type="dxa" w:w="2016"/>
            <w:vAlign w:val="top"/>
          </w:tcPr>
          <w:p>
            <w:r>
              <w:rPr>
                <w:sz w:val="17"/>
              </w:rPr>
              <w:t>UAT, stores and launch</w:t>
            </w:r>
          </w:p>
        </w:tc>
        <w:tc>
          <w:tcPr>
            <w:tcW w:type="dxa" w:w="1512"/>
            <w:vAlign w:val="top"/>
          </w:tcPr>
          <w:p>
            <w:r>
              <w:rPr>
                <w:sz w:val="17"/>
              </w:rPr>
              <w:t>Weeks 52–64</w:t>
            </w:r>
          </w:p>
        </w:tc>
        <w:tc>
          <w:tcPr>
            <w:tcW w:type="dxa" w:w="4680"/>
            <w:vAlign w:val="top"/>
          </w:tcPr>
          <w:p>
            <w:r>
              <w:rPr>
                <w:sz w:val="17"/>
              </w:rPr>
              <w:t>Accepted UAT, store approval, production deployment, training</w:t>
            </w:r>
          </w:p>
        </w:tc>
        <w:tc>
          <w:tcPr>
            <w:tcW w:type="dxa" w:w="792"/>
            <w:vAlign w:val="top"/>
          </w:tcPr>
          <w:p>
            <w:r>
              <w:rPr>
                <w:sz w:val="17"/>
              </w:rPr>
              <w:t>G6</w:t>
            </w:r>
          </w:p>
        </w:tc>
      </w:tr>
      <w:tr>
        <w:tc>
          <w:tcPr>
            <w:tcW w:type="dxa" w:w="792"/>
            <w:vAlign w:val="top"/>
          </w:tcPr>
          <w:p>
            <w:r>
              <w:rPr>
                <w:sz w:val="17"/>
              </w:rPr>
              <w:t>P7</w:t>
            </w:r>
          </w:p>
        </w:tc>
        <w:tc>
          <w:tcPr>
            <w:tcW w:type="dxa" w:w="2016"/>
            <w:vAlign w:val="top"/>
          </w:tcPr>
          <w:p>
            <w:r>
              <w:rPr>
                <w:sz w:val="17"/>
              </w:rPr>
              <w:t>Stabilization and handover</w:t>
            </w:r>
          </w:p>
        </w:tc>
        <w:tc>
          <w:tcPr>
            <w:tcW w:type="dxa" w:w="1512"/>
            <w:vAlign w:val="top"/>
          </w:tcPr>
          <w:p>
            <w:r>
              <w:rPr>
                <w:sz w:val="17"/>
              </w:rPr>
              <w:t>First 8–12 weeks post-launch</w:t>
            </w:r>
          </w:p>
        </w:tc>
        <w:tc>
          <w:tcPr>
            <w:tcW w:type="dxa" w:w="4680"/>
            <w:vAlign w:val="top"/>
          </w:tcPr>
          <w:p>
            <w:r>
              <w:rPr>
                <w:sz w:val="17"/>
              </w:rPr>
              <w:t>Warranty fixes, KPI review, operational acceptance and closure</w:t>
            </w:r>
          </w:p>
        </w:tc>
        <w:tc>
          <w:tcPr>
            <w:tcW w:type="dxa" w:w="792"/>
            <w:vAlign w:val="top"/>
          </w:tcPr>
          <w:p>
            <w:r>
              <w:rPr>
                <w:sz w:val="17"/>
              </w:rPr>
              <w:t>G7</w:t>
            </w:r>
          </w:p>
        </w:tc>
      </w:tr>
    </w:tbl>
    <w:p>
      <w:r>
        <w:t>Phases intentionally overlap. A later phase may start only when its dependencies are accepted; overlap does not waive entry criteria. Dates are reforecast after team appointment and vendor contracting without changing the 12–15-month baseline unless Jyphra approves a schedule change.</w:t>
      </w:r>
    </w:p>
    <w:p>
      <w:pPr>
        <w:pStyle w:val="Heading1"/>
      </w:pPr>
      <w:r>
        <w:t>5. Stage gates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864"/>
            <w:shd w:fill="704214"/>
            <w:vAlign w:val="center"/>
          </w:tcPr>
          <w:p>
            <w:r>
              <w:rPr>
                <w:b/>
                <w:color w:val="FFFFFF"/>
                <w:sz w:val="17"/>
              </w:rPr>
              <w:t>Gate</w:t>
            </w:r>
          </w:p>
        </w:tc>
        <w:tc>
          <w:tcPr>
            <w:tcW w:type="dxa" w:w="2448"/>
            <w:shd w:fill="704214"/>
            <w:vAlign w:val="center"/>
          </w:tcPr>
          <w:p>
            <w:r>
              <w:rPr>
                <w:b/>
                <w:color w:val="FFFFFF"/>
                <w:sz w:val="17"/>
              </w:rPr>
              <w:t>Decision</w:t>
            </w:r>
          </w:p>
        </w:tc>
        <w:tc>
          <w:tcPr>
            <w:tcW w:type="dxa" w:w="6552"/>
            <w:shd w:fill="704214"/>
            <w:vAlign w:val="center"/>
          </w:tcPr>
          <w:p>
            <w:r>
              <w:rPr>
                <w:b/>
                <w:color w:val="FFFFFF"/>
                <w:sz w:val="17"/>
              </w:rPr>
              <w:t>Minimum evidence</w:t>
            </w:r>
          </w:p>
        </w:tc>
      </w:tr>
      <w:tr>
        <w:tc>
          <w:tcPr>
            <w:tcW w:type="dxa" w:w="864"/>
            <w:vAlign w:val="top"/>
          </w:tcPr>
          <w:p>
            <w:r>
              <w:rPr>
                <w:sz w:val="17"/>
              </w:rPr>
              <w:t>G0</w:t>
            </w:r>
          </w:p>
        </w:tc>
        <w:tc>
          <w:tcPr>
            <w:tcW w:type="dxa" w:w="2448"/>
            <w:vAlign w:val="top"/>
          </w:tcPr>
          <w:p>
            <w:r>
              <w:rPr>
                <w:sz w:val="17"/>
              </w:rPr>
              <w:t>Mobilization authorized</w:t>
            </w:r>
          </w:p>
        </w:tc>
        <w:tc>
          <w:tcPr>
            <w:tcW w:type="dxa" w:w="6552"/>
            <w:vAlign w:val="top"/>
          </w:tcPr>
          <w:p>
            <w:r>
              <w:rPr>
                <w:sz w:val="17"/>
              </w:rPr>
              <w:t>Named product/technology/delivery owners; agency contract controls; repositories and access; baseline acknowledged</w:t>
            </w:r>
          </w:p>
        </w:tc>
      </w:tr>
      <w:tr>
        <w:tc>
          <w:tcPr>
            <w:tcW w:type="dxa" w:w="864"/>
            <w:vAlign w:val="top"/>
          </w:tcPr>
          <w:p>
            <w:r>
              <w:rPr>
                <w:sz w:val="17"/>
              </w:rPr>
              <w:t>G1</w:t>
            </w:r>
          </w:p>
        </w:tc>
        <w:tc>
          <w:tcPr>
            <w:tcW w:type="dxa" w:w="2448"/>
            <w:vAlign w:val="top"/>
          </w:tcPr>
          <w:p>
            <w:r>
              <w:rPr>
                <w:sz w:val="17"/>
              </w:rPr>
              <w:t>Design/architecture baseline</w:t>
            </w:r>
          </w:p>
        </w:tc>
        <w:tc>
          <w:tcPr>
            <w:tcW w:type="dxa" w:w="6552"/>
            <w:vAlign w:val="top"/>
          </w:tcPr>
          <w:p>
            <w:r>
              <w:rPr>
                <w:sz w:val="17"/>
              </w:rPr>
              <w:t>Approved journeys, screen inventory, domain boundaries, ADR set, initial schema/API direction, threat model</w:t>
            </w:r>
          </w:p>
        </w:tc>
      </w:tr>
      <w:tr>
        <w:tc>
          <w:tcPr>
            <w:tcW w:type="dxa" w:w="864"/>
            <w:vAlign w:val="top"/>
          </w:tcPr>
          <w:p>
            <w:r>
              <w:rPr>
                <w:sz w:val="17"/>
              </w:rPr>
              <w:t>G2</w:t>
            </w:r>
          </w:p>
        </w:tc>
        <w:tc>
          <w:tcPr>
            <w:tcW w:type="dxa" w:w="2448"/>
            <w:vAlign w:val="top"/>
          </w:tcPr>
          <w:p>
            <w:r>
              <w:rPr>
                <w:sz w:val="17"/>
              </w:rPr>
              <w:t>Foundation accepted</w:t>
            </w:r>
          </w:p>
        </w:tc>
        <w:tc>
          <w:tcPr>
            <w:tcW w:type="dxa" w:w="6552"/>
            <w:vAlign w:val="top"/>
          </w:tcPr>
          <w:p>
            <w:r>
              <w:rPr>
                <w:sz w:val="17"/>
              </w:rPr>
              <w:t>CI/CD, environments, identity, Person/Account separation, audit, permissions, observability skeleton demonstrated</w:t>
            </w:r>
          </w:p>
        </w:tc>
      </w:tr>
      <w:tr>
        <w:tc>
          <w:tcPr>
            <w:tcW w:type="dxa" w:w="864"/>
            <w:vAlign w:val="top"/>
          </w:tcPr>
          <w:p>
            <w:r>
              <w:rPr>
                <w:sz w:val="17"/>
              </w:rPr>
              <w:t>G3</w:t>
            </w:r>
          </w:p>
        </w:tc>
        <w:tc>
          <w:tcPr>
            <w:tcW w:type="dxa" w:w="2448"/>
            <w:vAlign w:val="top"/>
          </w:tcPr>
          <w:p>
            <w:r>
              <w:rPr>
                <w:sz w:val="17"/>
              </w:rPr>
              <w:t>Core genealogy accepted</w:t>
            </w:r>
          </w:p>
        </w:tc>
        <w:tc>
          <w:tcPr>
            <w:tcW w:type="dxa" w:w="6552"/>
            <w:vAlign w:val="top"/>
          </w:tcPr>
          <w:p>
            <w:r>
              <w:rPr>
                <w:sz w:val="17"/>
              </w:rPr>
              <w:t>Tree, search, claim, verification, disputes, duplicate/merge, evidence and admin flows pass reference tests</w:t>
            </w:r>
          </w:p>
        </w:tc>
      </w:tr>
      <w:tr>
        <w:tc>
          <w:tcPr>
            <w:tcW w:type="dxa" w:w="864"/>
            <w:vAlign w:val="top"/>
          </w:tcPr>
          <w:p>
            <w:r>
              <w:rPr>
                <w:sz w:val="17"/>
              </w:rPr>
              <w:t>G4</w:t>
            </w:r>
          </w:p>
        </w:tc>
        <w:tc>
          <w:tcPr>
            <w:tcW w:type="dxa" w:w="2448"/>
            <w:vAlign w:val="top"/>
          </w:tcPr>
          <w:p>
            <w:r>
              <w:rPr>
                <w:sz w:val="17"/>
              </w:rPr>
              <w:t>Feature complete</w:t>
            </w:r>
          </w:p>
        </w:tc>
        <w:tc>
          <w:tcPr>
            <w:tcW w:type="dxa" w:w="6552"/>
            <w:vAlign w:val="top"/>
          </w:tcPr>
          <w:p>
            <w:r>
              <w:rPr>
                <w:sz w:val="17"/>
              </w:rPr>
              <w:t>All Release 1.0 modules integrated; unapproved cultural outputs safely disabled or neutral; no omitted features</w:t>
            </w:r>
          </w:p>
        </w:tc>
      </w:tr>
      <w:tr>
        <w:tc>
          <w:tcPr>
            <w:tcW w:type="dxa" w:w="864"/>
            <w:vAlign w:val="top"/>
          </w:tcPr>
          <w:p>
            <w:r>
              <w:rPr>
                <w:sz w:val="17"/>
              </w:rPr>
              <w:t>G5</w:t>
            </w:r>
          </w:p>
        </w:tc>
        <w:tc>
          <w:tcPr>
            <w:tcW w:type="dxa" w:w="2448"/>
            <w:vAlign w:val="top"/>
          </w:tcPr>
          <w:p>
            <w:r>
              <w:rPr>
                <w:sz w:val="17"/>
              </w:rPr>
              <w:t>Release candidate</w:t>
            </w:r>
          </w:p>
        </w:tc>
        <w:tc>
          <w:tcPr>
            <w:tcW w:type="dxa" w:w="6552"/>
            <w:vAlign w:val="top"/>
          </w:tcPr>
          <w:p>
            <w:r>
              <w:rPr>
                <w:sz w:val="17"/>
              </w:rPr>
              <w:t>Traceability complete; zero open blocker/critical defects; security, performance, accessibility, migration and DR evidence accepted</w:t>
            </w:r>
          </w:p>
        </w:tc>
      </w:tr>
      <w:tr>
        <w:tc>
          <w:tcPr>
            <w:tcW w:type="dxa" w:w="864"/>
            <w:vAlign w:val="top"/>
          </w:tcPr>
          <w:p>
            <w:r>
              <w:rPr>
                <w:sz w:val="17"/>
              </w:rPr>
              <w:t>G6</w:t>
            </w:r>
          </w:p>
        </w:tc>
        <w:tc>
          <w:tcPr>
            <w:tcW w:type="dxa" w:w="2448"/>
            <w:vAlign w:val="top"/>
          </w:tcPr>
          <w:p>
            <w:r>
              <w:rPr>
                <w:sz w:val="17"/>
              </w:rPr>
              <w:t>Production go-live</w:t>
            </w:r>
          </w:p>
        </w:tc>
        <w:tc>
          <w:tcPr>
            <w:tcW w:type="dxa" w:w="6552"/>
            <w:vAlign w:val="top"/>
          </w:tcPr>
          <w:p>
            <w:r>
              <w:rPr>
                <w:sz w:val="17"/>
              </w:rPr>
              <w:t>UAT sign-off, store approval, operations/handover, rollback, support and executive go/no-go complete</w:t>
            </w:r>
          </w:p>
        </w:tc>
      </w:tr>
      <w:tr>
        <w:tc>
          <w:tcPr>
            <w:tcW w:type="dxa" w:w="864"/>
            <w:vAlign w:val="top"/>
          </w:tcPr>
          <w:p>
            <w:r>
              <w:rPr>
                <w:sz w:val="17"/>
              </w:rPr>
              <w:t>G7</w:t>
            </w:r>
          </w:p>
        </w:tc>
        <w:tc>
          <w:tcPr>
            <w:tcW w:type="dxa" w:w="2448"/>
            <w:vAlign w:val="top"/>
          </w:tcPr>
          <w:p>
            <w:r>
              <w:rPr>
                <w:sz w:val="17"/>
              </w:rPr>
              <w:t>Operational acceptance</w:t>
            </w:r>
          </w:p>
        </w:tc>
        <w:tc>
          <w:tcPr>
            <w:tcW w:type="dxa" w:w="6552"/>
            <w:vAlign w:val="top"/>
          </w:tcPr>
          <w:p>
            <w:r>
              <w:rPr>
                <w:sz w:val="17"/>
              </w:rPr>
              <w:t>Stabilization KPIs achieved; residual defects governed; documentation and knowledge transfer accepted</w:t>
            </w:r>
          </w:p>
        </w:tc>
      </w:tr>
    </w:tbl>
    <w:p>
      <w:pPr>
        <w:pStyle w:val="Heading1"/>
      </w:pPr>
      <w:r>
        <w:t>6. Workstream structure and ownership</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864"/>
            <w:shd w:fill="704214"/>
            <w:vAlign w:val="center"/>
          </w:tcPr>
          <w:p>
            <w:r>
              <w:rPr>
                <w:b/>
                <w:color w:val="FFFFFF"/>
                <w:sz w:val="17"/>
              </w:rPr>
              <w:t>ID</w:t>
            </w:r>
          </w:p>
        </w:tc>
        <w:tc>
          <w:tcPr>
            <w:tcW w:type="dxa" w:w="2232"/>
            <w:shd w:fill="704214"/>
            <w:vAlign w:val="center"/>
          </w:tcPr>
          <w:p>
            <w:r>
              <w:rPr>
                <w:b/>
                <w:color w:val="FFFFFF"/>
                <w:sz w:val="17"/>
              </w:rPr>
              <w:t>Workstream</w:t>
            </w:r>
          </w:p>
        </w:tc>
        <w:tc>
          <w:tcPr>
            <w:tcW w:type="dxa" w:w="2232"/>
            <w:shd w:fill="704214"/>
            <w:vAlign w:val="center"/>
          </w:tcPr>
          <w:p>
            <w:r>
              <w:rPr>
                <w:b/>
                <w:color w:val="FFFFFF"/>
                <w:sz w:val="17"/>
              </w:rPr>
              <w:t>Accountable lead</w:t>
            </w:r>
          </w:p>
        </w:tc>
        <w:tc>
          <w:tcPr>
            <w:tcW w:type="dxa" w:w="4464"/>
            <w:shd w:fill="704214"/>
            <w:vAlign w:val="center"/>
          </w:tcPr>
          <w:p>
            <w:r>
              <w:rPr>
                <w:b/>
                <w:color w:val="FFFFFF"/>
                <w:sz w:val="17"/>
              </w:rPr>
              <w:t>Primary outputs</w:t>
            </w:r>
          </w:p>
        </w:tc>
      </w:tr>
      <w:tr>
        <w:tc>
          <w:tcPr>
            <w:tcW w:type="dxa" w:w="864"/>
            <w:vAlign w:val="top"/>
          </w:tcPr>
          <w:p>
            <w:r>
              <w:rPr>
                <w:sz w:val="17"/>
              </w:rPr>
              <w:t>WS01</w:t>
            </w:r>
          </w:p>
        </w:tc>
        <w:tc>
          <w:tcPr>
            <w:tcW w:type="dxa" w:w="2232"/>
            <w:vAlign w:val="top"/>
          </w:tcPr>
          <w:p>
            <w:r>
              <w:rPr>
                <w:sz w:val="17"/>
              </w:rPr>
              <w:t>Product &amp; governance</w:t>
            </w:r>
          </w:p>
        </w:tc>
        <w:tc>
          <w:tcPr>
            <w:tcW w:type="dxa" w:w="2232"/>
            <w:vAlign w:val="top"/>
          </w:tcPr>
          <w:p>
            <w:r>
              <w:rPr>
                <w:sz w:val="17"/>
              </w:rPr>
              <w:t>Product Owner</w:t>
            </w:r>
          </w:p>
        </w:tc>
        <w:tc>
          <w:tcPr>
            <w:tcW w:type="dxa" w:w="4464"/>
            <w:vAlign w:val="top"/>
          </w:tcPr>
          <w:p>
            <w:r>
              <w:rPr>
                <w:sz w:val="17"/>
              </w:rPr>
              <w:t>Requirements, backlog, decisions, traceability, acceptance</w:t>
            </w:r>
          </w:p>
        </w:tc>
      </w:tr>
      <w:tr>
        <w:tc>
          <w:tcPr>
            <w:tcW w:type="dxa" w:w="864"/>
            <w:vAlign w:val="top"/>
          </w:tcPr>
          <w:p>
            <w:r>
              <w:rPr>
                <w:sz w:val="17"/>
              </w:rPr>
              <w:t>WS02</w:t>
            </w:r>
          </w:p>
        </w:tc>
        <w:tc>
          <w:tcPr>
            <w:tcW w:type="dxa" w:w="2232"/>
            <w:vAlign w:val="top"/>
          </w:tcPr>
          <w:p>
            <w:r>
              <w:rPr>
                <w:sz w:val="17"/>
              </w:rPr>
              <w:t>UX, content &amp; localization</w:t>
            </w:r>
          </w:p>
        </w:tc>
        <w:tc>
          <w:tcPr>
            <w:tcW w:type="dxa" w:w="2232"/>
            <w:vAlign w:val="top"/>
          </w:tcPr>
          <w:p>
            <w:r>
              <w:rPr>
                <w:sz w:val="17"/>
              </w:rPr>
              <w:t>UX Lead</w:t>
            </w:r>
          </w:p>
        </w:tc>
        <w:tc>
          <w:tcPr>
            <w:tcW w:type="dxa" w:w="4464"/>
            <w:vAlign w:val="top"/>
          </w:tcPr>
          <w:p>
            <w:r>
              <w:rPr>
                <w:sz w:val="17"/>
              </w:rPr>
              <w:t>Journeys, screens, design system, bilingual content, accessibility</w:t>
            </w:r>
          </w:p>
        </w:tc>
      </w:tr>
      <w:tr>
        <w:tc>
          <w:tcPr>
            <w:tcW w:type="dxa" w:w="864"/>
            <w:vAlign w:val="top"/>
          </w:tcPr>
          <w:p>
            <w:r>
              <w:rPr>
                <w:sz w:val="17"/>
              </w:rPr>
              <w:t>WS03</w:t>
            </w:r>
          </w:p>
        </w:tc>
        <w:tc>
          <w:tcPr>
            <w:tcW w:type="dxa" w:w="2232"/>
            <w:vAlign w:val="top"/>
          </w:tcPr>
          <w:p>
            <w:r>
              <w:rPr>
                <w:sz w:val="17"/>
              </w:rPr>
              <w:t>Identity, profile &amp; privacy</w:t>
            </w:r>
          </w:p>
        </w:tc>
        <w:tc>
          <w:tcPr>
            <w:tcW w:type="dxa" w:w="2232"/>
            <w:vAlign w:val="top"/>
          </w:tcPr>
          <w:p>
            <w:r>
              <w:rPr>
                <w:sz w:val="17"/>
              </w:rPr>
              <w:t>Backend/Mobile Leads</w:t>
            </w:r>
          </w:p>
        </w:tc>
        <w:tc>
          <w:tcPr>
            <w:tcW w:type="dxa" w:w="4464"/>
            <w:vAlign w:val="top"/>
          </w:tcPr>
          <w:p>
            <w:r>
              <w:rPr>
                <w:sz w:val="17"/>
              </w:rPr>
              <w:t>OTP, sessions, person/account, consent, visibility, minors</w:t>
            </w:r>
          </w:p>
        </w:tc>
      </w:tr>
      <w:tr>
        <w:tc>
          <w:tcPr>
            <w:tcW w:type="dxa" w:w="864"/>
            <w:vAlign w:val="top"/>
          </w:tcPr>
          <w:p>
            <w:r>
              <w:rPr>
                <w:sz w:val="17"/>
              </w:rPr>
              <w:t>WS04</w:t>
            </w:r>
          </w:p>
        </w:tc>
        <w:tc>
          <w:tcPr>
            <w:tcW w:type="dxa" w:w="2232"/>
            <w:vAlign w:val="top"/>
          </w:tcPr>
          <w:p>
            <w:r>
              <w:rPr>
                <w:sz w:val="17"/>
              </w:rPr>
              <w:t>Genealogy &amp; cultural rules</w:t>
            </w:r>
          </w:p>
        </w:tc>
        <w:tc>
          <w:tcPr>
            <w:tcW w:type="dxa" w:w="2232"/>
            <w:vAlign w:val="top"/>
          </w:tcPr>
          <w:p>
            <w:r>
              <w:rPr>
                <w:sz w:val="17"/>
              </w:rPr>
              <w:t>Domain Lead</w:t>
            </w:r>
          </w:p>
        </w:tc>
        <w:tc>
          <w:tcPr>
            <w:tcW w:type="dxa" w:w="4464"/>
            <w:vAlign w:val="top"/>
          </w:tcPr>
          <w:p>
            <w:r>
              <w:rPr>
                <w:sz w:val="17"/>
              </w:rPr>
              <w:t>Graph, claims, verification, merge, Nata/Saino, Jutho, Tithi</w:t>
            </w:r>
          </w:p>
        </w:tc>
      </w:tr>
      <w:tr>
        <w:tc>
          <w:tcPr>
            <w:tcW w:type="dxa" w:w="864"/>
            <w:vAlign w:val="top"/>
          </w:tcPr>
          <w:p>
            <w:r>
              <w:rPr>
                <w:sz w:val="17"/>
              </w:rPr>
              <w:t>WS05</w:t>
            </w:r>
          </w:p>
        </w:tc>
        <w:tc>
          <w:tcPr>
            <w:tcW w:type="dxa" w:w="2232"/>
            <w:vAlign w:val="top"/>
          </w:tcPr>
          <w:p>
            <w:r>
              <w:rPr>
                <w:sz w:val="17"/>
              </w:rPr>
              <w:t>Community &amp; communication</w:t>
            </w:r>
          </w:p>
        </w:tc>
        <w:tc>
          <w:tcPr>
            <w:tcW w:type="dxa" w:w="2232"/>
            <w:vAlign w:val="top"/>
          </w:tcPr>
          <w:p>
            <w:r>
              <w:rPr>
                <w:sz w:val="17"/>
              </w:rPr>
              <w:t>Product/Engineering</w:t>
            </w:r>
          </w:p>
        </w:tc>
        <w:tc>
          <w:tcPr>
            <w:tcW w:type="dxa" w:w="4464"/>
            <w:vAlign w:val="top"/>
          </w:tcPr>
          <w:p>
            <w:r>
              <w:rPr>
                <w:sz w:val="17"/>
              </w:rPr>
              <w:t>Posts, moderation, invitations, RSVP, chat, notifications</w:t>
            </w:r>
          </w:p>
        </w:tc>
      </w:tr>
      <w:tr>
        <w:tc>
          <w:tcPr>
            <w:tcW w:type="dxa" w:w="864"/>
            <w:vAlign w:val="top"/>
          </w:tcPr>
          <w:p>
            <w:r>
              <w:rPr>
                <w:sz w:val="17"/>
              </w:rPr>
              <w:t>WS06</w:t>
            </w:r>
          </w:p>
        </w:tc>
        <w:tc>
          <w:tcPr>
            <w:tcW w:type="dxa" w:w="2232"/>
            <w:vAlign w:val="top"/>
          </w:tcPr>
          <w:p>
            <w:r>
              <w:rPr>
                <w:sz w:val="17"/>
              </w:rPr>
              <w:t>Administration &amp; governance</w:t>
            </w:r>
          </w:p>
        </w:tc>
        <w:tc>
          <w:tcPr>
            <w:tcW w:type="dxa" w:w="2232"/>
            <w:vAlign w:val="top"/>
          </w:tcPr>
          <w:p>
            <w:r>
              <w:rPr>
                <w:sz w:val="17"/>
              </w:rPr>
              <w:t>Admin Lead</w:t>
            </w:r>
          </w:p>
        </w:tc>
        <w:tc>
          <w:tcPr>
            <w:tcW w:type="dxa" w:w="4464"/>
            <w:vAlign w:val="top"/>
          </w:tcPr>
          <w:p>
            <w:r>
              <w:rPr>
                <w:sz w:val="17"/>
              </w:rPr>
              <w:t>Dashboards, queues, role scope, evidence, audit and configuration</w:t>
            </w:r>
          </w:p>
        </w:tc>
      </w:tr>
      <w:tr>
        <w:tc>
          <w:tcPr>
            <w:tcW w:type="dxa" w:w="864"/>
            <w:vAlign w:val="top"/>
          </w:tcPr>
          <w:p>
            <w:r>
              <w:rPr>
                <w:sz w:val="17"/>
              </w:rPr>
              <w:t>WS07</w:t>
            </w:r>
          </w:p>
        </w:tc>
        <w:tc>
          <w:tcPr>
            <w:tcW w:type="dxa" w:w="2232"/>
            <w:vAlign w:val="top"/>
          </w:tcPr>
          <w:p>
            <w:r>
              <w:rPr>
                <w:sz w:val="17"/>
              </w:rPr>
              <w:t>Platform &amp; integrations</w:t>
            </w:r>
          </w:p>
        </w:tc>
        <w:tc>
          <w:tcPr>
            <w:tcW w:type="dxa" w:w="2232"/>
            <w:vAlign w:val="top"/>
          </w:tcPr>
          <w:p>
            <w:r>
              <w:rPr>
                <w:sz w:val="17"/>
              </w:rPr>
              <w:t>Technology Lead</w:t>
            </w:r>
          </w:p>
        </w:tc>
        <w:tc>
          <w:tcPr>
            <w:tcW w:type="dxa" w:w="4464"/>
            <w:vAlign w:val="top"/>
          </w:tcPr>
          <w:p>
            <w:r>
              <w:rPr>
                <w:sz w:val="17"/>
              </w:rPr>
              <w:t>APIs, events, storage, maps, SMS, push, calendar providers</w:t>
            </w:r>
          </w:p>
        </w:tc>
      </w:tr>
      <w:tr>
        <w:tc>
          <w:tcPr>
            <w:tcW w:type="dxa" w:w="864"/>
            <w:vAlign w:val="top"/>
          </w:tcPr>
          <w:p>
            <w:r>
              <w:rPr>
                <w:sz w:val="17"/>
              </w:rPr>
              <w:t>WS08</w:t>
            </w:r>
          </w:p>
        </w:tc>
        <w:tc>
          <w:tcPr>
            <w:tcW w:type="dxa" w:w="2232"/>
            <w:vAlign w:val="top"/>
          </w:tcPr>
          <w:p>
            <w:r>
              <w:rPr>
                <w:sz w:val="17"/>
              </w:rPr>
              <w:t>Data migration</w:t>
            </w:r>
          </w:p>
        </w:tc>
        <w:tc>
          <w:tcPr>
            <w:tcW w:type="dxa" w:w="2232"/>
            <w:vAlign w:val="top"/>
          </w:tcPr>
          <w:p>
            <w:r>
              <w:rPr>
                <w:sz w:val="17"/>
              </w:rPr>
              <w:t>Data Lead</w:t>
            </w:r>
          </w:p>
        </w:tc>
        <w:tc>
          <w:tcPr>
            <w:tcW w:type="dxa" w:w="4464"/>
            <w:vAlign w:val="top"/>
          </w:tcPr>
          <w:p>
            <w:r>
              <w:rPr>
                <w:sz w:val="17"/>
              </w:rPr>
              <w:t>Inventory, mapping, cleansing, dry runs, reconciliation and rollback</w:t>
            </w:r>
          </w:p>
        </w:tc>
      </w:tr>
      <w:tr>
        <w:tc>
          <w:tcPr>
            <w:tcW w:type="dxa" w:w="864"/>
            <w:vAlign w:val="top"/>
          </w:tcPr>
          <w:p>
            <w:r>
              <w:rPr>
                <w:sz w:val="17"/>
              </w:rPr>
              <w:t>WS09</w:t>
            </w:r>
          </w:p>
        </w:tc>
        <w:tc>
          <w:tcPr>
            <w:tcW w:type="dxa" w:w="2232"/>
            <w:vAlign w:val="top"/>
          </w:tcPr>
          <w:p>
            <w:r>
              <w:rPr>
                <w:sz w:val="17"/>
              </w:rPr>
              <w:t>Quality engineering</w:t>
            </w:r>
          </w:p>
        </w:tc>
        <w:tc>
          <w:tcPr>
            <w:tcW w:type="dxa" w:w="2232"/>
            <w:vAlign w:val="top"/>
          </w:tcPr>
          <w:p>
            <w:r>
              <w:rPr>
                <w:sz w:val="17"/>
              </w:rPr>
              <w:t>QA Lead</w:t>
            </w:r>
          </w:p>
        </w:tc>
        <w:tc>
          <w:tcPr>
            <w:tcW w:type="dxa" w:w="4464"/>
            <w:vAlign w:val="top"/>
          </w:tcPr>
          <w:p>
            <w:r>
              <w:rPr>
                <w:sz w:val="17"/>
              </w:rPr>
              <w:t>Automation, E2E, performance, accessibility, security coordination</w:t>
            </w:r>
          </w:p>
        </w:tc>
      </w:tr>
      <w:tr>
        <w:tc>
          <w:tcPr>
            <w:tcW w:type="dxa" w:w="864"/>
            <w:vAlign w:val="top"/>
          </w:tcPr>
          <w:p>
            <w:r>
              <w:rPr>
                <w:sz w:val="17"/>
              </w:rPr>
              <w:t>WS10</w:t>
            </w:r>
          </w:p>
        </w:tc>
        <w:tc>
          <w:tcPr>
            <w:tcW w:type="dxa" w:w="2232"/>
            <w:vAlign w:val="top"/>
          </w:tcPr>
          <w:p>
            <w:r>
              <w:rPr>
                <w:sz w:val="17"/>
              </w:rPr>
              <w:t>DevSecOps &amp; operations</w:t>
            </w:r>
          </w:p>
        </w:tc>
        <w:tc>
          <w:tcPr>
            <w:tcW w:type="dxa" w:w="2232"/>
            <w:vAlign w:val="top"/>
          </w:tcPr>
          <w:p>
            <w:r>
              <w:rPr>
                <w:sz w:val="17"/>
              </w:rPr>
              <w:t>Platform Lead</w:t>
            </w:r>
          </w:p>
        </w:tc>
        <w:tc>
          <w:tcPr>
            <w:tcW w:type="dxa" w:w="4464"/>
            <w:vAlign w:val="top"/>
          </w:tcPr>
          <w:p>
            <w:r>
              <w:rPr>
                <w:sz w:val="17"/>
              </w:rPr>
              <w:t>Environments, CI/CD, observability, backup, DR, release and handover</w:t>
            </w:r>
          </w:p>
        </w:tc>
      </w:tr>
    </w:tbl>
    <w:p>
      <w:pPr>
        <w:pStyle w:val="Heading1"/>
      </w:pPr>
      <w:r>
        <w:t>7. Responsibility rules</w:t>
      </w:r>
    </w:p>
    <w:p>
      <w:pPr>
        <w:pStyle w:val="ListBullet"/>
      </w:pPr>
      <w:r>
        <w:t>Jyphra Product Owner accepts business functionality; agency delivery does not constitute acceptance.</w:t>
      </w:r>
    </w:p>
    <w:p>
      <w:pPr>
        <w:pStyle w:val="ListBullet"/>
      </w:pPr>
      <w:r>
        <w:t>Technology Lead approves architecture and production technical readiness.</w:t>
      </w:r>
    </w:p>
    <w:p>
      <w:pPr>
        <w:pStyle w:val="ListBullet"/>
      </w:pPr>
      <w:r>
        <w:t>QA Lead owns independent quality evidence and may reject a release candidate.</w:t>
      </w:r>
    </w:p>
    <w:p>
      <w:pPr>
        <w:pStyle w:val="ListBullet"/>
      </w:pPr>
      <w:r>
        <w:t>Cultural Reviewer and separate Senior Community/Religious Authority approve authoritative terminology/rules; no self-approval.</w:t>
      </w:r>
    </w:p>
    <w:p>
      <w:pPr>
        <w:pStyle w:val="ListBullet"/>
      </w:pPr>
      <w:r>
        <w:t>Branch/Genealogy Authorities approve only within defined scope and recuse from conflicted cases.</w:t>
      </w:r>
    </w:p>
    <w:p>
      <w:pPr>
        <w:pStyle w:val="ListBullet"/>
      </w:pPr>
      <w:r>
        <w:t>DPO/Privacy Lead reviews sensitive processing, minors, deletion, retention and incident handling.</w:t>
      </w:r>
    </w:p>
    <w:p>
      <w:pPr>
        <w:pStyle w:val="ListBullet"/>
      </w:pPr>
      <w:r>
        <w:t>Release Manager coordinates evidence but cannot waive missing approvals.</w:t>
      </w:r>
    </w:p>
    <w:p>
      <w:pPr>
        <w:pStyle w:val="Heading1"/>
      </w:pPr>
      <w:r>
        <w:t>8. Repository and asset control</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704214"/>
            <w:vAlign w:val="center"/>
          </w:tcPr>
          <w:p>
            <w:r>
              <w:rPr>
                <w:b/>
                <w:color w:val="FFFFFF"/>
                <w:sz w:val="17"/>
              </w:rPr>
              <w:t>Repository / system</w:t>
            </w:r>
          </w:p>
        </w:tc>
        <w:tc>
          <w:tcPr>
            <w:tcW w:type="dxa" w:w="3528"/>
            <w:shd w:fill="704214"/>
            <w:vAlign w:val="center"/>
          </w:tcPr>
          <w:p>
            <w:r>
              <w:rPr>
                <w:b/>
                <w:color w:val="FFFFFF"/>
                <w:sz w:val="17"/>
              </w:rPr>
              <w:t>Contents</w:t>
            </w:r>
          </w:p>
        </w:tc>
        <w:tc>
          <w:tcPr>
            <w:tcW w:type="dxa" w:w="4320"/>
            <w:shd w:fill="704214"/>
            <w:vAlign w:val="center"/>
          </w:tcPr>
          <w:p>
            <w:r>
              <w:rPr>
                <w:b/>
                <w:color w:val="FFFFFF"/>
                <w:sz w:val="17"/>
              </w:rPr>
              <w:t>Control</w:t>
            </w:r>
          </w:p>
        </w:tc>
      </w:tr>
      <w:tr>
        <w:tc>
          <w:tcPr>
            <w:tcW w:type="dxa" w:w="1944"/>
            <w:vAlign w:val="top"/>
          </w:tcPr>
          <w:p>
            <w:r>
              <w:rPr>
                <w:sz w:val="17"/>
              </w:rPr>
              <w:t>mobile-app</w:t>
            </w:r>
          </w:p>
        </w:tc>
        <w:tc>
          <w:tcPr>
            <w:tcW w:type="dxa" w:w="3528"/>
            <w:vAlign w:val="top"/>
          </w:tcPr>
          <w:p>
            <w:r>
              <w:rPr>
                <w:sz w:val="17"/>
              </w:rPr>
              <w:t>Flutter/Dart or approved cross-platform client</w:t>
            </w:r>
          </w:p>
        </w:tc>
        <w:tc>
          <w:tcPr>
            <w:tcW w:type="dxa" w:w="4320"/>
            <w:vAlign w:val="top"/>
          </w:tcPr>
          <w:p>
            <w:r>
              <w:rPr>
                <w:sz w:val="17"/>
              </w:rPr>
              <w:t>Protected main; mandatory review and CI</w:t>
            </w:r>
          </w:p>
        </w:tc>
      </w:tr>
      <w:tr>
        <w:tc>
          <w:tcPr>
            <w:tcW w:type="dxa" w:w="1944"/>
            <w:vAlign w:val="top"/>
          </w:tcPr>
          <w:p>
            <w:r>
              <w:rPr>
                <w:sz w:val="17"/>
              </w:rPr>
              <w:t>admin-portal</w:t>
            </w:r>
          </w:p>
        </w:tc>
        <w:tc>
          <w:tcPr>
            <w:tcW w:type="dxa" w:w="3528"/>
            <w:vAlign w:val="top"/>
          </w:tcPr>
          <w:p>
            <w:r>
              <w:rPr>
                <w:sz w:val="17"/>
              </w:rPr>
              <w:t>Web administration application</w:t>
            </w:r>
          </w:p>
        </w:tc>
        <w:tc>
          <w:tcPr>
            <w:tcW w:type="dxa" w:w="4320"/>
            <w:vAlign w:val="top"/>
          </w:tcPr>
          <w:p>
            <w:r>
              <w:rPr>
                <w:sz w:val="17"/>
              </w:rPr>
              <w:t>Protected main; privileged-feature security review</w:t>
            </w:r>
          </w:p>
        </w:tc>
      </w:tr>
      <w:tr>
        <w:tc>
          <w:tcPr>
            <w:tcW w:type="dxa" w:w="1944"/>
            <w:vAlign w:val="top"/>
          </w:tcPr>
          <w:p>
            <w:r>
              <w:rPr>
                <w:sz w:val="17"/>
              </w:rPr>
              <w:t>backend-services</w:t>
            </w:r>
          </w:p>
        </w:tc>
        <w:tc>
          <w:tcPr>
            <w:tcW w:type="dxa" w:w="3528"/>
            <w:vAlign w:val="top"/>
          </w:tcPr>
          <w:p>
            <w:r>
              <w:rPr>
                <w:sz w:val="17"/>
              </w:rPr>
              <w:t>APIs, workers and event consumers</w:t>
            </w:r>
          </w:p>
        </w:tc>
        <w:tc>
          <w:tcPr>
            <w:tcW w:type="dxa" w:w="4320"/>
            <w:vAlign w:val="top"/>
          </w:tcPr>
          <w:p>
            <w:r>
              <w:rPr>
                <w:sz w:val="17"/>
              </w:rPr>
              <w:t>Contract tests, migrations and security scans</w:t>
            </w:r>
          </w:p>
        </w:tc>
      </w:tr>
      <w:tr>
        <w:tc>
          <w:tcPr>
            <w:tcW w:type="dxa" w:w="1944"/>
            <w:vAlign w:val="top"/>
          </w:tcPr>
          <w:p>
            <w:r>
              <w:rPr>
                <w:sz w:val="17"/>
              </w:rPr>
              <w:t>infrastructure</w:t>
            </w:r>
          </w:p>
        </w:tc>
        <w:tc>
          <w:tcPr>
            <w:tcW w:type="dxa" w:w="3528"/>
            <w:vAlign w:val="top"/>
          </w:tcPr>
          <w:p>
            <w:r>
              <w:rPr>
                <w:sz w:val="17"/>
              </w:rPr>
              <w:t>Infrastructure-as-code, policies and environment definitions</w:t>
            </w:r>
          </w:p>
        </w:tc>
        <w:tc>
          <w:tcPr>
            <w:tcW w:type="dxa" w:w="4320"/>
            <w:vAlign w:val="top"/>
          </w:tcPr>
          <w:p>
            <w:r>
              <w:rPr>
                <w:sz w:val="17"/>
              </w:rPr>
              <w:t>Jyphra-owned; two-person production approval</w:t>
            </w:r>
          </w:p>
        </w:tc>
      </w:tr>
      <w:tr>
        <w:tc>
          <w:tcPr>
            <w:tcW w:type="dxa" w:w="1944"/>
            <w:vAlign w:val="top"/>
          </w:tcPr>
          <w:p>
            <w:r>
              <w:rPr>
                <w:sz w:val="17"/>
              </w:rPr>
              <w:t>documentation</w:t>
            </w:r>
          </w:p>
        </w:tc>
        <w:tc>
          <w:tcPr>
            <w:tcW w:type="dxa" w:w="3528"/>
            <w:vAlign w:val="top"/>
          </w:tcPr>
          <w:p>
            <w:r>
              <w:rPr>
                <w:sz w:val="17"/>
              </w:rPr>
              <w:t>ADRs, OpenAPI, models, runbooks, traceability and decisions</w:t>
            </w:r>
          </w:p>
        </w:tc>
        <w:tc>
          <w:tcPr>
            <w:tcW w:type="dxa" w:w="4320"/>
            <w:vAlign w:val="top"/>
          </w:tcPr>
          <w:p>
            <w:r>
              <w:rPr>
                <w:sz w:val="17"/>
              </w:rPr>
              <w:t>Versioned with code; reviewed in change workflow</w:t>
            </w:r>
          </w:p>
        </w:tc>
      </w:tr>
      <w:tr>
        <w:tc>
          <w:tcPr>
            <w:tcW w:type="dxa" w:w="1944"/>
            <w:vAlign w:val="top"/>
          </w:tcPr>
          <w:p>
            <w:r>
              <w:rPr>
                <w:sz w:val="17"/>
              </w:rPr>
              <w:t>design</w:t>
            </w:r>
          </w:p>
        </w:tc>
        <w:tc>
          <w:tcPr>
            <w:tcW w:type="dxa" w:w="3528"/>
            <w:vAlign w:val="top"/>
          </w:tcPr>
          <w:p>
            <w:r>
              <w:rPr>
                <w:sz w:val="17"/>
              </w:rPr>
              <w:t>Design source, components and export assets</w:t>
            </w:r>
          </w:p>
        </w:tc>
        <w:tc>
          <w:tcPr>
            <w:tcW w:type="dxa" w:w="4320"/>
            <w:vAlign w:val="top"/>
          </w:tcPr>
          <w:p>
            <w:r>
              <w:rPr>
                <w:sz w:val="17"/>
              </w:rPr>
              <w:t>Jyphra-controlled project; versioned handoff</w:t>
            </w:r>
          </w:p>
        </w:tc>
      </w:tr>
      <w:tr>
        <w:tc>
          <w:tcPr>
            <w:tcW w:type="dxa" w:w="1944"/>
            <w:vAlign w:val="top"/>
          </w:tcPr>
          <w:p>
            <w:r>
              <w:rPr>
                <w:sz w:val="17"/>
              </w:rPr>
              <w:t>data-migration</w:t>
            </w:r>
          </w:p>
        </w:tc>
        <w:tc>
          <w:tcPr>
            <w:tcW w:type="dxa" w:w="3528"/>
            <w:vAlign w:val="top"/>
          </w:tcPr>
          <w:p>
            <w:r>
              <w:rPr>
                <w:sz w:val="17"/>
              </w:rPr>
              <w:t>Schemas, mappings, validators and reconciliation scripts</w:t>
            </w:r>
          </w:p>
        </w:tc>
        <w:tc>
          <w:tcPr>
            <w:tcW w:type="dxa" w:w="4320"/>
            <w:vAlign w:val="top"/>
          </w:tcPr>
          <w:p>
            <w:r>
              <w:rPr>
                <w:sz w:val="17"/>
              </w:rPr>
              <w:t>No production data in source control</w:t>
            </w:r>
          </w:p>
        </w:tc>
      </w:tr>
      <w:tr>
        <w:tc>
          <w:tcPr>
            <w:tcW w:type="dxa" w:w="1944"/>
            <w:vAlign w:val="top"/>
          </w:tcPr>
          <w:p>
            <w:r>
              <w:rPr>
                <w:sz w:val="17"/>
              </w:rPr>
              <w:t>test-automation</w:t>
            </w:r>
          </w:p>
        </w:tc>
        <w:tc>
          <w:tcPr>
            <w:tcW w:type="dxa" w:w="3528"/>
            <w:vAlign w:val="top"/>
          </w:tcPr>
          <w:p>
            <w:r>
              <w:rPr>
                <w:sz w:val="17"/>
              </w:rPr>
              <w:t>E2E, performance, security and reference datasets</w:t>
            </w:r>
          </w:p>
        </w:tc>
        <w:tc>
          <w:tcPr>
            <w:tcW w:type="dxa" w:w="4320"/>
            <w:vAlign w:val="top"/>
          </w:tcPr>
          <w:p>
            <w:r>
              <w:rPr>
                <w:sz w:val="17"/>
              </w:rPr>
              <w:t>Release-gate integration</w:t>
            </w:r>
          </w:p>
        </w:tc>
      </w:tr>
    </w:tbl>
    <w:p>
      <w:pPr>
        <w:pStyle w:val="Heading1"/>
      </w:pPr>
      <w:r>
        <w:t>9. Requirements-to-delivery workflow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224"/>
            <w:shd w:fill="704214"/>
            <w:vAlign w:val="center"/>
          </w:tcPr>
          <w:p>
            <w:r>
              <w:rPr>
                <w:b/>
                <w:color w:val="FFFFFF"/>
                <w:sz w:val="17"/>
              </w:rPr>
              <w:t>Step</w:t>
            </w:r>
          </w:p>
        </w:tc>
        <w:tc>
          <w:tcPr>
            <w:tcW w:type="dxa" w:w="5832"/>
            <w:shd w:fill="704214"/>
            <w:vAlign w:val="center"/>
          </w:tcPr>
          <w:p>
            <w:r>
              <w:rPr>
                <w:b/>
                <w:color w:val="FFFFFF"/>
                <w:sz w:val="17"/>
              </w:rPr>
              <w:t>Required action</w:t>
            </w:r>
          </w:p>
        </w:tc>
        <w:tc>
          <w:tcPr>
            <w:tcW w:type="dxa" w:w="2736"/>
            <w:shd w:fill="704214"/>
            <w:vAlign w:val="center"/>
          </w:tcPr>
          <w:p>
            <w:r>
              <w:rPr>
                <w:b/>
                <w:color w:val="FFFFFF"/>
                <w:sz w:val="17"/>
              </w:rPr>
              <w:t>Output</w:t>
            </w:r>
          </w:p>
        </w:tc>
      </w:tr>
      <w:tr>
        <w:tc>
          <w:tcPr>
            <w:tcW w:type="dxa" w:w="1224"/>
            <w:vAlign w:val="top"/>
          </w:tcPr>
          <w:p>
            <w:r>
              <w:rPr>
                <w:sz w:val="17"/>
              </w:rPr>
              <w:t>1. Decompose</w:t>
            </w:r>
          </w:p>
        </w:tc>
        <w:tc>
          <w:tcPr>
            <w:tcW w:type="dxa" w:w="5832"/>
            <w:vAlign w:val="top"/>
          </w:tcPr>
          <w:p>
            <w:r>
              <w:rPr>
                <w:sz w:val="17"/>
              </w:rPr>
              <w:t>Map Master Specification requirements into epics and capabilities without losing IDs</w:t>
            </w:r>
          </w:p>
        </w:tc>
        <w:tc>
          <w:tcPr>
            <w:tcW w:type="dxa" w:w="2736"/>
            <w:vAlign w:val="top"/>
          </w:tcPr>
          <w:p>
            <w:r>
              <w:rPr>
                <w:sz w:val="17"/>
              </w:rPr>
              <w:t>Epic map</w:t>
            </w:r>
          </w:p>
        </w:tc>
      </w:tr>
      <w:tr>
        <w:tc>
          <w:tcPr>
            <w:tcW w:type="dxa" w:w="1224"/>
            <w:vAlign w:val="top"/>
          </w:tcPr>
          <w:p>
            <w:r>
              <w:rPr>
                <w:sz w:val="17"/>
              </w:rPr>
              <w:t>2. Specify</w:t>
            </w:r>
          </w:p>
        </w:tc>
        <w:tc>
          <w:tcPr>
            <w:tcW w:type="dxa" w:w="5832"/>
            <w:vAlign w:val="top"/>
          </w:tcPr>
          <w:p>
            <w:r>
              <w:rPr>
                <w:sz w:val="17"/>
              </w:rPr>
              <w:t>Create user story, rules, UX state, data/API impact, privacy/security impact and acceptance criteria</w:t>
            </w:r>
          </w:p>
        </w:tc>
        <w:tc>
          <w:tcPr>
            <w:tcW w:type="dxa" w:w="2736"/>
            <w:vAlign w:val="top"/>
          </w:tcPr>
          <w:p>
            <w:r>
              <w:rPr>
                <w:sz w:val="17"/>
              </w:rPr>
              <w:t>Ready story</w:t>
            </w:r>
          </w:p>
        </w:tc>
      </w:tr>
      <w:tr>
        <w:tc>
          <w:tcPr>
            <w:tcW w:type="dxa" w:w="1224"/>
            <w:vAlign w:val="top"/>
          </w:tcPr>
          <w:p>
            <w:r>
              <w:rPr>
                <w:sz w:val="17"/>
              </w:rPr>
              <w:t>3. Design</w:t>
            </w:r>
          </w:p>
        </w:tc>
        <w:tc>
          <w:tcPr>
            <w:tcW w:type="dxa" w:w="5832"/>
            <w:vAlign w:val="top"/>
          </w:tcPr>
          <w:p>
            <w:r>
              <w:rPr>
                <w:sz w:val="17"/>
              </w:rPr>
              <w:t>Produce screen, sequence, data and API designs; record decisions and alternatives</w:t>
            </w:r>
          </w:p>
        </w:tc>
        <w:tc>
          <w:tcPr>
            <w:tcW w:type="dxa" w:w="2736"/>
            <w:vAlign w:val="top"/>
          </w:tcPr>
          <w:p>
            <w:r>
              <w:rPr>
                <w:sz w:val="17"/>
              </w:rPr>
              <w:t>Approved design/ADR</w:t>
            </w:r>
          </w:p>
        </w:tc>
      </w:tr>
      <w:tr>
        <w:tc>
          <w:tcPr>
            <w:tcW w:type="dxa" w:w="1224"/>
            <w:vAlign w:val="top"/>
          </w:tcPr>
          <w:p>
            <w:r>
              <w:rPr>
                <w:sz w:val="17"/>
              </w:rPr>
              <w:t>4. Implement</w:t>
            </w:r>
          </w:p>
        </w:tc>
        <w:tc>
          <w:tcPr>
            <w:tcW w:type="dxa" w:w="5832"/>
            <w:vAlign w:val="top"/>
          </w:tcPr>
          <w:p>
            <w:r>
              <w:rPr>
                <w:sz w:val="17"/>
              </w:rPr>
              <w:t>Code, migrate, instrument, document and feature-control the change</w:t>
            </w:r>
          </w:p>
        </w:tc>
        <w:tc>
          <w:tcPr>
            <w:tcW w:type="dxa" w:w="2736"/>
            <w:vAlign w:val="top"/>
          </w:tcPr>
          <w:p>
            <w:r>
              <w:rPr>
                <w:sz w:val="17"/>
              </w:rPr>
              <w:t>Reviewable increment</w:t>
            </w:r>
          </w:p>
        </w:tc>
      </w:tr>
      <w:tr>
        <w:tc>
          <w:tcPr>
            <w:tcW w:type="dxa" w:w="1224"/>
            <w:vAlign w:val="top"/>
          </w:tcPr>
          <w:p>
            <w:r>
              <w:rPr>
                <w:sz w:val="17"/>
              </w:rPr>
              <w:t>5. Verify</w:t>
            </w:r>
          </w:p>
        </w:tc>
        <w:tc>
          <w:tcPr>
            <w:tcW w:type="dxa" w:w="5832"/>
            <w:vAlign w:val="top"/>
          </w:tcPr>
          <w:p>
            <w:r>
              <w:rPr>
                <w:sz w:val="17"/>
              </w:rPr>
              <w:t>Run automated/manual tests against acceptance criteria and negative cases</w:t>
            </w:r>
          </w:p>
        </w:tc>
        <w:tc>
          <w:tcPr>
            <w:tcW w:type="dxa" w:w="2736"/>
            <w:vAlign w:val="top"/>
          </w:tcPr>
          <w:p>
            <w:r>
              <w:rPr>
                <w:sz w:val="17"/>
              </w:rPr>
              <w:t>Test evidence</w:t>
            </w:r>
          </w:p>
        </w:tc>
      </w:tr>
      <w:tr>
        <w:tc>
          <w:tcPr>
            <w:tcW w:type="dxa" w:w="1224"/>
            <w:vAlign w:val="top"/>
          </w:tcPr>
          <w:p>
            <w:r>
              <w:rPr>
                <w:sz w:val="17"/>
              </w:rPr>
              <w:t>6. Accept</w:t>
            </w:r>
          </w:p>
        </w:tc>
        <w:tc>
          <w:tcPr>
            <w:tcW w:type="dxa" w:w="5832"/>
            <w:vAlign w:val="top"/>
          </w:tcPr>
          <w:p>
            <w:r>
              <w:rPr>
                <w:sz w:val="17"/>
              </w:rPr>
              <w:t>Product/domain owner reviews demonstrated outcome and evidence</w:t>
            </w:r>
          </w:p>
        </w:tc>
        <w:tc>
          <w:tcPr>
            <w:tcW w:type="dxa" w:w="2736"/>
            <w:vAlign w:val="top"/>
          </w:tcPr>
          <w:p>
            <w:r>
              <w:rPr>
                <w:sz w:val="17"/>
              </w:rPr>
              <w:t>Accepted/rejected record</w:t>
            </w:r>
          </w:p>
        </w:tc>
      </w:tr>
      <w:tr>
        <w:tc>
          <w:tcPr>
            <w:tcW w:type="dxa" w:w="1224"/>
            <w:vAlign w:val="top"/>
          </w:tcPr>
          <w:p>
            <w:r>
              <w:rPr>
                <w:sz w:val="17"/>
              </w:rPr>
              <w:t>7. Trace</w:t>
            </w:r>
          </w:p>
        </w:tc>
        <w:tc>
          <w:tcPr>
            <w:tcW w:type="dxa" w:w="5832"/>
            <w:vAlign w:val="top"/>
          </w:tcPr>
          <w:p>
            <w:r>
              <w:rPr>
                <w:sz w:val="17"/>
              </w:rPr>
              <w:t>Update RTM from requirement through code, build and test</w:t>
            </w:r>
          </w:p>
        </w:tc>
        <w:tc>
          <w:tcPr>
            <w:tcW w:type="dxa" w:w="2736"/>
            <w:vAlign w:val="top"/>
          </w:tcPr>
          <w:p>
            <w:r>
              <w:rPr>
                <w:sz w:val="17"/>
              </w:rPr>
              <w:t>Complete trace</w:t>
            </w:r>
          </w:p>
        </w:tc>
      </w:tr>
      <w:tr>
        <w:tc>
          <w:tcPr>
            <w:tcW w:type="dxa" w:w="1224"/>
            <w:vAlign w:val="top"/>
          </w:tcPr>
          <w:p>
            <w:r>
              <w:rPr>
                <w:sz w:val="17"/>
              </w:rPr>
              <w:t>8. Release</w:t>
            </w:r>
          </w:p>
        </w:tc>
        <w:tc>
          <w:tcPr>
            <w:tcW w:type="dxa" w:w="5832"/>
            <w:vAlign w:val="top"/>
          </w:tcPr>
          <w:p>
            <w:r>
              <w:rPr>
                <w:sz w:val="17"/>
              </w:rPr>
              <w:t>Include risk, dependency, migration and rollback details</w:t>
            </w:r>
          </w:p>
        </w:tc>
        <w:tc>
          <w:tcPr>
            <w:tcW w:type="dxa" w:w="2736"/>
            <w:vAlign w:val="top"/>
          </w:tcPr>
          <w:p>
            <w:r>
              <w:rPr>
                <w:sz w:val="17"/>
              </w:rPr>
              <w:t>Release candidate</w:t>
            </w:r>
          </w:p>
        </w:tc>
      </w:tr>
    </w:tbl>
    <w:p>
      <w:pPr>
        <w:pStyle w:val="Heading1"/>
      </w:pPr>
      <w:r>
        <w:t>10. Definition of Ready</w:t>
      </w:r>
    </w:p>
    <w:p>
      <w:pPr>
        <w:pStyle w:val="ListBullet"/>
      </w:pPr>
      <w:r>
        <w:t>Requirement and source IDs are identified; business value and user/role are clear.</w:t>
      </w:r>
    </w:p>
    <w:p>
      <w:pPr>
        <w:pStyle w:val="ListBullet"/>
      </w:pPr>
      <w:r>
        <w:t>Acceptance criteria include success, validation, authorization, privacy, error, audit and localization behaviour.</w:t>
      </w:r>
    </w:p>
    <w:p>
      <w:pPr>
        <w:pStyle w:val="ListBullet"/>
      </w:pPr>
      <w:r>
        <w:t>Dependencies, domain approvals and unknowns are listed; unresolved items have safe configuration/fallback.</w:t>
      </w:r>
    </w:p>
    <w:p>
      <w:pPr>
        <w:pStyle w:val="ListBullet"/>
      </w:pPr>
      <w:r>
        <w:t>UX states cover loading, empty, error, offline/retry, denied, pending and success where applicable.</w:t>
      </w:r>
    </w:p>
    <w:p>
      <w:pPr>
        <w:pStyle w:val="ListBullet"/>
      </w:pPr>
      <w:r>
        <w:t>API/data changes, migration impact, analytics and observability are defined.</w:t>
      </w:r>
    </w:p>
    <w:p>
      <w:pPr>
        <w:pStyle w:val="ListBullet"/>
      </w:pPr>
      <w:r>
        <w:t>Security/privacy classification and abuse cases are reviewed.</w:t>
      </w:r>
    </w:p>
    <w:p>
      <w:pPr>
        <w:pStyle w:val="ListBullet"/>
      </w:pPr>
      <w:r>
        <w:t>Test approach and test data are feasible; story is sized and fits the sprint.</w:t>
      </w:r>
    </w:p>
    <w:p>
      <w:pPr>
        <w:pStyle w:val="Heading1"/>
      </w:pPr>
      <w:r>
        <w:t>11. Definition of Done</w:t>
      </w:r>
    </w:p>
    <w:p>
      <w:pPr>
        <w:pStyle w:val="ListBullet"/>
      </w:pPr>
      <w:r>
        <w:t>Code is reviewed by an independent qualified reviewer and all mandatory CI checks pass.</w:t>
      </w:r>
    </w:p>
    <w:p>
      <w:pPr>
        <w:pStyle w:val="ListBullet"/>
      </w:pPr>
      <w:r>
        <w:t>Acceptance criteria pass on supported platforms; regression, negative and permission tests are included.</w:t>
      </w:r>
    </w:p>
    <w:p>
      <w:pPr>
        <w:pStyle w:val="ListBullet"/>
      </w:pPr>
      <w:r>
        <w:t>No secrets, sensitive data or prohibited logs are introduced; dependency and static scans meet policy.</w:t>
      </w:r>
    </w:p>
    <w:p>
      <w:pPr>
        <w:pStyle w:val="ListBullet"/>
      </w:pPr>
      <w:r>
        <w:t>API/schema documentation, ADRs, localization keys, analytics and operational notes are updated.</w:t>
      </w:r>
    </w:p>
    <w:p>
      <w:pPr>
        <w:pStyle w:val="ListBullet"/>
      </w:pPr>
      <w:r>
        <w:t>Accessibility checks and Nepali/English content checks pass for affected interfaces.</w:t>
      </w:r>
    </w:p>
    <w:p>
      <w:pPr>
        <w:pStyle w:val="ListBullet"/>
      </w:pPr>
      <w:r>
        <w:t>Database changes are backward compatible where required, rehearsed and rollback-capable.</w:t>
      </w:r>
    </w:p>
    <w:p>
      <w:pPr>
        <w:pStyle w:val="ListBullet"/>
      </w:pPr>
      <w:r>
        <w:t>Feature flags/default configuration are safe; monitoring and alerts exist for material failure modes.</w:t>
      </w:r>
    </w:p>
    <w:p>
      <w:pPr>
        <w:pStyle w:val="ListBullet"/>
      </w:pPr>
      <w:r>
        <w:t>Product Owner accepts the story and RTM links requirement, implementation and evidence.</w:t>
      </w:r>
    </w:p>
    <w:p>
      <w:pPr>
        <w:pStyle w:val="Heading1"/>
      </w:pPr>
      <w:r>
        <w:t>12. Sprint and release-train operating model</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704214"/>
            <w:vAlign w:val="center"/>
          </w:tcPr>
          <w:p>
            <w:r>
              <w:rPr>
                <w:b/>
                <w:color w:val="FFFFFF"/>
                <w:sz w:val="17"/>
              </w:rPr>
              <w:t>Event</w:t>
            </w:r>
          </w:p>
        </w:tc>
        <w:tc>
          <w:tcPr>
            <w:tcW w:type="dxa" w:w="1944"/>
            <w:shd w:fill="704214"/>
            <w:vAlign w:val="center"/>
          </w:tcPr>
          <w:p>
            <w:r>
              <w:rPr>
                <w:b/>
                <w:color w:val="FFFFFF"/>
                <w:sz w:val="17"/>
              </w:rPr>
              <w:t>Timing</w:t>
            </w:r>
          </w:p>
        </w:tc>
        <w:tc>
          <w:tcPr>
            <w:tcW w:type="dxa" w:w="5904"/>
            <w:shd w:fill="704214"/>
            <w:vAlign w:val="center"/>
          </w:tcPr>
          <w:p>
            <w:r>
              <w:rPr>
                <w:b/>
                <w:color w:val="FFFFFF"/>
                <w:sz w:val="17"/>
              </w:rPr>
              <w:t>Mandatory content</w:t>
            </w:r>
          </w:p>
        </w:tc>
      </w:tr>
      <w:tr>
        <w:tc>
          <w:tcPr>
            <w:tcW w:type="dxa" w:w="2232"/>
            <w:vAlign w:val="top"/>
          </w:tcPr>
          <w:p>
            <w:r>
              <w:rPr>
                <w:sz w:val="17"/>
              </w:rPr>
              <w:t>Backlog refinement</w:t>
            </w:r>
          </w:p>
        </w:tc>
        <w:tc>
          <w:tcPr>
            <w:tcW w:type="dxa" w:w="1944"/>
            <w:vAlign w:val="top"/>
          </w:tcPr>
          <w:p>
            <w:r>
              <w:rPr>
                <w:sz w:val="17"/>
              </w:rPr>
              <w:t>At least weekly</w:t>
            </w:r>
          </w:p>
        </w:tc>
        <w:tc>
          <w:tcPr>
            <w:tcW w:type="dxa" w:w="5904"/>
            <w:vAlign w:val="top"/>
          </w:tcPr>
          <w:p>
            <w:r>
              <w:rPr>
                <w:sz w:val="17"/>
              </w:rPr>
              <w:t>Readiness, dependencies, authority decisions, size and sequencing</w:t>
            </w:r>
          </w:p>
        </w:tc>
      </w:tr>
      <w:tr>
        <w:tc>
          <w:tcPr>
            <w:tcW w:type="dxa" w:w="2232"/>
            <w:vAlign w:val="top"/>
          </w:tcPr>
          <w:p>
            <w:r>
              <w:rPr>
                <w:sz w:val="17"/>
              </w:rPr>
              <w:t>Sprint planning</w:t>
            </w:r>
          </w:p>
        </w:tc>
        <w:tc>
          <w:tcPr>
            <w:tcW w:type="dxa" w:w="1944"/>
            <w:vAlign w:val="top"/>
          </w:tcPr>
          <w:p>
            <w:r>
              <w:rPr>
                <w:sz w:val="17"/>
              </w:rPr>
              <w:t>Every 2 weeks</w:t>
            </w:r>
          </w:p>
        </w:tc>
        <w:tc>
          <w:tcPr>
            <w:tcW w:type="dxa" w:w="5904"/>
            <w:vAlign w:val="top"/>
          </w:tcPr>
          <w:p>
            <w:r>
              <w:rPr>
                <w:sz w:val="17"/>
              </w:rPr>
              <w:t>Sprint goal, capacity, stories meeting DoR, risk and test commitments</w:t>
            </w:r>
          </w:p>
        </w:tc>
      </w:tr>
      <w:tr>
        <w:tc>
          <w:tcPr>
            <w:tcW w:type="dxa" w:w="2232"/>
            <w:vAlign w:val="top"/>
          </w:tcPr>
          <w:p>
            <w:r>
              <w:rPr>
                <w:sz w:val="17"/>
              </w:rPr>
              <w:t>Daily coordination</w:t>
            </w:r>
          </w:p>
        </w:tc>
        <w:tc>
          <w:tcPr>
            <w:tcW w:type="dxa" w:w="1944"/>
            <w:vAlign w:val="top"/>
          </w:tcPr>
          <w:p>
            <w:r>
              <w:rPr>
                <w:sz w:val="17"/>
              </w:rPr>
              <w:t>Working days</w:t>
            </w:r>
          </w:p>
        </w:tc>
        <w:tc>
          <w:tcPr>
            <w:tcW w:type="dxa" w:w="5904"/>
            <w:vAlign w:val="top"/>
          </w:tcPr>
          <w:p>
            <w:r>
              <w:rPr>
                <w:sz w:val="17"/>
              </w:rPr>
              <w:t>Progress, blockers, cross-workstream dependency and risk change</w:t>
            </w:r>
          </w:p>
        </w:tc>
      </w:tr>
      <w:tr>
        <w:tc>
          <w:tcPr>
            <w:tcW w:type="dxa" w:w="2232"/>
            <w:vAlign w:val="top"/>
          </w:tcPr>
          <w:p>
            <w:r>
              <w:rPr>
                <w:sz w:val="17"/>
              </w:rPr>
              <w:t>Design/architecture clinic</w:t>
            </w:r>
          </w:p>
        </w:tc>
        <w:tc>
          <w:tcPr>
            <w:tcW w:type="dxa" w:w="1944"/>
            <w:vAlign w:val="top"/>
          </w:tcPr>
          <w:p>
            <w:r>
              <w:rPr>
                <w:sz w:val="17"/>
              </w:rPr>
              <w:t>At least weekly</w:t>
            </w:r>
          </w:p>
        </w:tc>
        <w:tc>
          <w:tcPr>
            <w:tcW w:type="dxa" w:w="5904"/>
            <w:vAlign w:val="top"/>
          </w:tcPr>
          <w:p>
            <w:r>
              <w:rPr>
                <w:sz w:val="17"/>
              </w:rPr>
              <w:t>Impacts, ADRs, API/schema consistency and NFRs</w:t>
            </w:r>
          </w:p>
        </w:tc>
      </w:tr>
      <w:tr>
        <w:tc>
          <w:tcPr>
            <w:tcW w:type="dxa" w:w="2232"/>
            <w:vAlign w:val="top"/>
          </w:tcPr>
          <w:p>
            <w:r>
              <w:rPr>
                <w:sz w:val="17"/>
              </w:rPr>
              <w:t>Review/demo</w:t>
            </w:r>
          </w:p>
        </w:tc>
        <w:tc>
          <w:tcPr>
            <w:tcW w:type="dxa" w:w="1944"/>
            <w:vAlign w:val="top"/>
          </w:tcPr>
          <w:p>
            <w:r>
              <w:rPr>
                <w:sz w:val="17"/>
              </w:rPr>
              <w:t>Sprint end</w:t>
            </w:r>
          </w:p>
        </w:tc>
        <w:tc>
          <w:tcPr>
            <w:tcW w:type="dxa" w:w="5904"/>
            <w:vAlign w:val="top"/>
          </w:tcPr>
          <w:p>
            <w:r>
              <w:rPr>
                <w:sz w:val="17"/>
              </w:rPr>
              <w:t>Running software, acceptance evidence and stakeholder feedback</w:t>
            </w:r>
          </w:p>
        </w:tc>
      </w:tr>
      <w:tr>
        <w:tc>
          <w:tcPr>
            <w:tcW w:type="dxa" w:w="2232"/>
            <w:vAlign w:val="top"/>
          </w:tcPr>
          <w:p>
            <w:r>
              <w:rPr>
                <w:sz w:val="17"/>
              </w:rPr>
              <w:t>Retrospective</w:t>
            </w:r>
          </w:p>
        </w:tc>
        <w:tc>
          <w:tcPr>
            <w:tcW w:type="dxa" w:w="1944"/>
            <w:vAlign w:val="top"/>
          </w:tcPr>
          <w:p>
            <w:r>
              <w:rPr>
                <w:sz w:val="17"/>
              </w:rPr>
              <w:t>Sprint end</w:t>
            </w:r>
          </w:p>
        </w:tc>
        <w:tc>
          <w:tcPr>
            <w:tcW w:type="dxa" w:w="5904"/>
            <w:vAlign w:val="top"/>
          </w:tcPr>
          <w:p>
            <w:r>
              <w:rPr>
                <w:sz w:val="17"/>
              </w:rPr>
              <w:t>Measurable improvements with owners and due dates</w:t>
            </w:r>
          </w:p>
        </w:tc>
      </w:tr>
      <w:tr>
        <w:tc>
          <w:tcPr>
            <w:tcW w:type="dxa" w:w="2232"/>
            <w:vAlign w:val="top"/>
          </w:tcPr>
          <w:p>
            <w:r>
              <w:rPr>
                <w:sz w:val="17"/>
              </w:rPr>
              <w:t>Release train</w:t>
            </w:r>
          </w:p>
        </w:tc>
        <w:tc>
          <w:tcPr>
            <w:tcW w:type="dxa" w:w="1944"/>
            <w:vAlign w:val="top"/>
          </w:tcPr>
          <w:p>
            <w:r>
              <w:rPr>
                <w:sz w:val="17"/>
              </w:rPr>
              <w:t>Every 2–4 sprints as suitable</w:t>
            </w:r>
          </w:p>
        </w:tc>
        <w:tc>
          <w:tcPr>
            <w:tcW w:type="dxa" w:w="5904"/>
            <w:vAlign w:val="top"/>
          </w:tcPr>
          <w:p>
            <w:r>
              <w:rPr>
                <w:sz w:val="17"/>
              </w:rPr>
              <w:t>Integrated candidate through staging; production only through G6</w:t>
            </w:r>
          </w:p>
        </w:tc>
      </w:tr>
      <w:tr>
        <w:tc>
          <w:tcPr>
            <w:tcW w:type="dxa" w:w="2232"/>
            <w:vAlign w:val="top"/>
          </w:tcPr>
          <w:p>
            <w:r>
              <w:rPr>
                <w:sz w:val="17"/>
              </w:rPr>
              <w:t>Quarterly baseline review</w:t>
            </w:r>
          </w:p>
        </w:tc>
        <w:tc>
          <w:tcPr>
            <w:tcW w:type="dxa" w:w="1944"/>
            <w:vAlign w:val="top"/>
          </w:tcPr>
          <w:p>
            <w:r>
              <w:rPr>
                <w:sz w:val="17"/>
              </w:rPr>
              <w:t>Quarterly</w:t>
            </w:r>
          </w:p>
        </w:tc>
        <w:tc>
          <w:tcPr>
            <w:tcW w:type="dxa" w:w="5904"/>
            <w:vAlign w:val="top"/>
          </w:tcPr>
          <w:p>
            <w:r>
              <w:rPr>
                <w:sz w:val="17"/>
              </w:rPr>
              <w:t>Forecast, capacity, security posture, quality trends and approved changes</w:t>
            </w:r>
          </w:p>
        </w:tc>
      </w:tr>
    </w:tbl>
    <w:p>
      <w:pPr>
        <w:pStyle w:val="Heading1"/>
      </w:pPr>
      <w:r>
        <w:t>13. Branching, review and versioning</w:t>
      </w:r>
    </w:p>
    <w:p>
      <w:pPr>
        <w:pStyle w:val="ListBullet"/>
      </w:pPr>
      <w:r>
        <w:t>Short-lived feature branches from protected main; no direct production commits.</w:t>
      </w:r>
    </w:p>
    <w:p>
      <w:pPr>
        <w:pStyle w:val="ListBullet"/>
      </w:pPr>
      <w:r>
        <w:t>Pull requests identify requirement/story IDs, risk, testing, screenshots where relevant, migration and rollback impact.</w:t>
      </w:r>
    </w:p>
    <w:p>
      <w:pPr>
        <w:pStyle w:val="ListBullet"/>
      </w:pPr>
      <w:r>
        <w:t>At least one independent review; two approvals for security-, privacy-, infrastructure- or irreversible-data changes.</w:t>
      </w:r>
    </w:p>
    <w:p>
      <w:pPr>
        <w:pStyle w:val="ListBullet"/>
      </w:pPr>
      <w:r>
        <w:t>Conventional, traceable commits; signed release tags and immutable build artifacts.</w:t>
      </w:r>
    </w:p>
    <w:p>
      <w:pPr>
        <w:pStyle w:val="ListBullet"/>
      </w:pPr>
      <w:r>
        <w:t>Semantic versioning for public APIs/apps; database migrations and rule catalogues have independent ordered versions.</w:t>
      </w:r>
    </w:p>
    <w:p>
      <w:pPr>
        <w:pStyle w:val="ListBullet"/>
      </w:pPr>
      <w:r>
        <w:t>Hotfixes follow expedited review but never bypass test evidence, audit or post-incident review.</w:t>
      </w:r>
    </w:p>
    <w:p>
      <w:pPr>
        <w:pStyle w:val="Heading1"/>
      </w:pPr>
      <w:r>
        <w:t>14. CI/CD quality gates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shd w:fill="704214"/>
            <w:vAlign w:val="center"/>
          </w:tcPr>
          <w:p>
            <w:r>
              <w:rPr>
                <w:b/>
                <w:color w:val="FFFFFF"/>
                <w:sz w:val="17"/>
              </w:rPr>
              <w:t>Pipeline stage</w:t>
            </w:r>
          </w:p>
        </w:tc>
        <w:tc>
          <w:tcPr>
            <w:tcW w:type="dxa" w:w="5760"/>
            <w:shd w:fill="704214"/>
            <w:vAlign w:val="center"/>
          </w:tcPr>
          <w:p>
            <w:r>
              <w:rPr>
                <w:b/>
                <w:color w:val="FFFFFF"/>
                <w:sz w:val="17"/>
              </w:rPr>
              <w:t>Mandatory controls</w:t>
            </w:r>
          </w:p>
        </w:tc>
        <w:tc>
          <w:tcPr>
            <w:tcW w:type="dxa" w:w="2520"/>
            <w:shd w:fill="704214"/>
            <w:vAlign w:val="center"/>
          </w:tcPr>
          <w:p>
            <w:r>
              <w:rPr>
                <w:b/>
                <w:color w:val="FFFFFF"/>
                <w:sz w:val="17"/>
              </w:rPr>
              <w:t>Failure action</w:t>
            </w:r>
          </w:p>
        </w:tc>
      </w:tr>
      <w:tr>
        <w:tc>
          <w:tcPr>
            <w:tcW w:type="dxa" w:w="1800"/>
            <w:vAlign w:val="top"/>
          </w:tcPr>
          <w:p>
            <w:r>
              <w:rPr>
                <w:sz w:val="17"/>
              </w:rPr>
              <w:t>Pre-commit</w:t>
            </w:r>
          </w:p>
        </w:tc>
        <w:tc>
          <w:tcPr>
            <w:tcW w:type="dxa" w:w="5760"/>
            <w:vAlign w:val="top"/>
          </w:tcPr>
          <w:p>
            <w:r>
              <w:rPr>
                <w:sz w:val="17"/>
              </w:rPr>
              <w:t>Formatting, lint, unit tests, secret scan</w:t>
            </w:r>
          </w:p>
        </w:tc>
        <w:tc>
          <w:tcPr>
            <w:tcW w:type="dxa" w:w="2520"/>
            <w:vAlign w:val="top"/>
          </w:tcPr>
          <w:p>
            <w:r>
              <w:rPr>
                <w:sz w:val="17"/>
              </w:rPr>
              <w:t>Block commit/PR</w:t>
            </w:r>
          </w:p>
        </w:tc>
      </w:tr>
      <w:tr>
        <w:tc>
          <w:tcPr>
            <w:tcW w:type="dxa" w:w="1800"/>
            <w:vAlign w:val="top"/>
          </w:tcPr>
          <w:p>
            <w:r>
              <w:rPr>
                <w:sz w:val="17"/>
              </w:rPr>
              <w:t>Pull request</w:t>
            </w:r>
          </w:p>
        </w:tc>
        <w:tc>
          <w:tcPr>
            <w:tcW w:type="dxa" w:w="5760"/>
            <w:vAlign w:val="top"/>
          </w:tcPr>
          <w:p>
            <w:r>
              <w:rPr>
                <w:sz w:val="17"/>
              </w:rPr>
              <w:t>Build, unit/component tests, static analysis, dependency/license scan, API/schema compatibility</w:t>
            </w:r>
          </w:p>
        </w:tc>
        <w:tc>
          <w:tcPr>
            <w:tcW w:type="dxa" w:w="2520"/>
            <w:vAlign w:val="top"/>
          </w:tcPr>
          <w:p>
            <w:r>
              <w:rPr>
                <w:sz w:val="17"/>
              </w:rPr>
              <w:t>Block merge</w:t>
            </w:r>
          </w:p>
        </w:tc>
      </w:tr>
      <w:tr>
        <w:tc>
          <w:tcPr>
            <w:tcW w:type="dxa" w:w="1800"/>
            <w:vAlign w:val="top"/>
          </w:tcPr>
          <w:p>
            <w:r>
              <w:rPr>
                <w:sz w:val="17"/>
              </w:rPr>
              <w:t>Integration</w:t>
            </w:r>
          </w:p>
        </w:tc>
        <w:tc>
          <w:tcPr>
            <w:tcW w:type="dxa" w:w="5760"/>
            <w:vAlign w:val="top"/>
          </w:tcPr>
          <w:p>
            <w:r>
              <w:rPr>
                <w:sz w:val="17"/>
              </w:rPr>
              <w:t>Service integration, contract, migration and selected E2E tests</w:t>
            </w:r>
          </w:p>
        </w:tc>
        <w:tc>
          <w:tcPr>
            <w:tcW w:type="dxa" w:w="2520"/>
            <w:vAlign w:val="top"/>
          </w:tcPr>
          <w:p>
            <w:r>
              <w:rPr>
                <w:sz w:val="17"/>
              </w:rPr>
              <w:t>Block candidate</w:t>
            </w:r>
          </w:p>
        </w:tc>
      </w:tr>
      <w:tr>
        <w:tc>
          <w:tcPr>
            <w:tcW w:type="dxa" w:w="1800"/>
            <w:vAlign w:val="top"/>
          </w:tcPr>
          <w:p>
            <w:r>
              <w:rPr>
                <w:sz w:val="17"/>
              </w:rPr>
              <w:t>Staging</w:t>
            </w:r>
          </w:p>
        </w:tc>
        <w:tc>
          <w:tcPr>
            <w:tcW w:type="dxa" w:w="5760"/>
            <w:vAlign w:val="top"/>
          </w:tcPr>
          <w:p>
            <w:r>
              <w:rPr>
                <w:sz w:val="17"/>
              </w:rPr>
              <w:t>Full E2E, accessibility, localization, security dynamic checks and observability verification</w:t>
            </w:r>
          </w:p>
        </w:tc>
        <w:tc>
          <w:tcPr>
            <w:tcW w:type="dxa" w:w="2520"/>
            <w:vAlign w:val="top"/>
          </w:tcPr>
          <w:p>
            <w:r>
              <w:rPr>
                <w:sz w:val="17"/>
              </w:rPr>
              <w:t>Block release</w:t>
            </w:r>
          </w:p>
        </w:tc>
      </w:tr>
      <w:tr>
        <w:tc>
          <w:tcPr>
            <w:tcW w:type="dxa" w:w="1800"/>
            <w:vAlign w:val="top"/>
          </w:tcPr>
          <w:p>
            <w:r>
              <w:rPr>
                <w:sz w:val="17"/>
              </w:rPr>
              <w:t>Release candidate</w:t>
            </w:r>
          </w:p>
        </w:tc>
        <w:tc>
          <w:tcPr>
            <w:tcW w:type="dxa" w:w="5760"/>
            <w:vAlign w:val="top"/>
          </w:tcPr>
          <w:p>
            <w:r>
              <w:rPr>
                <w:sz w:val="17"/>
              </w:rPr>
              <w:t>Performance, resilience, backup/restore, signed build, SBOM and evidence bundle</w:t>
            </w:r>
          </w:p>
        </w:tc>
        <w:tc>
          <w:tcPr>
            <w:tcW w:type="dxa" w:w="2520"/>
            <w:vAlign w:val="top"/>
          </w:tcPr>
          <w:p>
            <w:r>
              <w:rPr>
                <w:sz w:val="17"/>
              </w:rPr>
              <w:t>Block G5/G6</w:t>
            </w:r>
          </w:p>
        </w:tc>
      </w:tr>
      <w:tr>
        <w:tc>
          <w:tcPr>
            <w:tcW w:type="dxa" w:w="1800"/>
            <w:vAlign w:val="top"/>
          </w:tcPr>
          <w:p>
            <w:r>
              <w:rPr>
                <w:sz w:val="17"/>
              </w:rPr>
              <w:t>Production</w:t>
            </w:r>
          </w:p>
        </w:tc>
        <w:tc>
          <w:tcPr>
            <w:tcW w:type="dxa" w:w="5760"/>
            <w:vAlign w:val="top"/>
          </w:tcPr>
          <w:p>
            <w:r>
              <w:rPr>
                <w:sz w:val="17"/>
              </w:rPr>
              <w:t>Approved deployment window, canary/controlled rollout, health gates and rollback trigger</w:t>
            </w:r>
          </w:p>
        </w:tc>
        <w:tc>
          <w:tcPr>
            <w:tcW w:type="dxa" w:w="2520"/>
            <w:vAlign w:val="top"/>
          </w:tcPr>
          <w:p>
            <w:r>
              <w:rPr>
                <w:sz w:val="17"/>
              </w:rPr>
              <w:t>Pause or rollback</w:t>
            </w:r>
          </w:p>
        </w:tc>
      </w:tr>
      <w:tr>
        <w:tc>
          <w:tcPr>
            <w:tcW w:type="dxa" w:w="1800"/>
            <w:vAlign w:val="top"/>
          </w:tcPr>
          <w:p>
            <w:r>
              <w:rPr>
                <w:sz w:val="17"/>
              </w:rPr>
              <w:t>Post-deploy</w:t>
            </w:r>
          </w:p>
        </w:tc>
        <w:tc>
          <w:tcPr>
            <w:tcW w:type="dxa" w:w="5760"/>
            <w:vAlign w:val="top"/>
          </w:tcPr>
          <w:p>
            <w:r>
              <w:rPr>
                <w:sz w:val="17"/>
              </w:rPr>
              <w:t>Smoke tests, telemetry, business transaction checks and incident watch</w:t>
            </w:r>
          </w:p>
        </w:tc>
        <w:tc>
          <w:tcPr>
            <w:tcW w:type="dxa" w:w="2520"/>
            <w:vAlign w:val="top"/>
          </w:tcPr>
          <w:p>
            <w:r>
              <w:rPr>
                <w:sz w:val="17"/>
              </w:rPr>
              <w:t>Rollback/escalate</w:t>
            </w:r>
          </w:p>
        </w:tc>
      </w:tr>
    </w:tbl>
    <w:p>
      <w:pPr>
        <w:pStyle w:val="Heading1"/>
      </w:pPr>
      <w:r>
        <w:t>15. Environment strategy</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656"/>
            <w:shd w:fill="704214"/>
            <w:vAlign w:val="center"/>
          </w:tcPr>
          <w:p>
            <w:r>
              <w:rPr>
                <w:b/>
                <w:color w:val="FFFFFF"/>
                <w:sz w:val="17"/>
              </w:rPr>
              <w:t>Environment</w:t>
            </w:r>
          </w:p>
        </w:tc>
        <w:tc>
          <w:tcPr>
            <w:tcW w:type="dxa" w:w="2448"/>
            <w:shd w:fill="704214"/>
            <w:vAlign w:val="center"/>
          </w:tcPr>
          <w:p>
            <w:r>
              <w:rPr>
                <w:b/>
                <w:color w:val="FFFFFF"/>
                <w:sz w:val="17"/>
              </w:rPr>
              <w:t>Purpose</w:t>
            </w:r>
          </w:p>
        </w:tc>
        <w:tc>
          <w:tcPr>
            <w:tcW w:type="dxa" w:w="2520"/>
            <w:shd w:fill="704214"/>
            <w:vAlign w:val="center"/>
          </w:tcPr>
          <w:p>
            <w:r>
              <w:rPr>
                <w:b/>
                <w:color w:val="FFFFFF"/>
                <w:sz w:val="17"/>
              </w:rPr>
              <w:t>Data</w:t>
            </w:r>
          </w:p>
        </w:tc>
        <w:tc>
          <w:tcPr>
            <w:tcW w:type="dxa" w:w="3456"/>
            <w:shd w:fill="704214"/>
            <w:vAlign w:val="center"/>
          </w:tcPr>
          <w:p>
            <w:r>
              <w:rPr>
                <w:b/>
                <w:color w:val="FFFFFF"/>
                <w:sz w:val="17"/>
              </w:rPr>
              <w:t>Access / promotion</w:t>
            </w:r>
          </w:p>
        </w:tc>
      </w:tr>
      <w:tr>
        <w:tc>
          <w:tcPr>
            <w:tcW w:type="dxa" w:w="1656"/>
            <w:vAlign w:val="top"/>
          </w:tcPr>
          <w:p>
            <w:r>
              <w:rPr>
                <w:sz w:val="17"/>
              </w:rPr>
              <w:t>Local</w:t>
            </w:r>
          </w:p>
        </w:tc>
        <w:tc>
          <w:tcPr>
            <w:tcW w:type="dxa" w:w="2448"/>
            <w:vAlign w:val="top"/>
          </w:tcPr>
          <w:p>
            <w:r>
              <w:rPr>
                <w:sz w:val="17"/>
              </w:rPr>
              <w:t>Developer implementation and unit testing</w:t>
            </w:r>
          </w:p>
        </w:tc>
        <w:tc>
          <w:tcPr>
            <w:tcW w:type="dxa" w:w="2520"/>
            <w:vAlign w:val="top"/>
          </w:tcPr>
          <w:p>
            <w:r>
              <w:rPr>
                <w:sz w:val="17"/>
              </w:rPr>
              <w:t>Synthetic only</w:t>
            </w:r>
          </w:p>
        </w:tc>
        <w:tc>
          <w:tcPr>
            <w:tcW w:type="dxa" w:w="3456"/>
            <w:vAlign w:val="top"/>
          </w:tcPr>
          <w:p>
            <w:r>
              <w:rPr>
                <w:sz w:val="17"/>
              </w:rPr>
              <w:t>Individual; no shared secrets</w:t>
            </w:r>
          </w:p>
        </w:tc>
      </w:tr>
      <w:tr>
        <w:tc>
          <w:tcPr>
            <w:tcW w:type="dxa" w:w="1656"/>
            <w:vAlign w:val="top"/>
          </w:tcPr>
          <w:p>
            <w:r>
              <w:rPr>
                <w:sz w:val="17"/>
              </w:rPr>
              <w:t>Development</w:t>
            </w:r>
          </w:p>
        </w:tc>
        <w:tc>
          <w:tcPr>
            <w:tcW w:type="dxa" w:w="2448"/>
            <w:vAlign w:val="top"/>
          </w:tcPr>
          <w:p>
            <w:r>
              <w:rPr>
                <w:sz w:val="17"/>
              </w:rPr>
              <w:t>Continuous integration and early integration</w:t>
            </w:r>
          </w:p>
        </w:tc>
        <w:tc>
          <w:tcPr>
            <w:tcW w:type="dxa" w:w="2520"/>
            <w:vAlign w:val="top"/>
          </w:tcPr>
          <w:p>
            <w:r>
              <w:rPr>
                <w:sz w:val="17"/>
              </w:rPr>
              <w:t>Synthetic/anonymized</w:t>
            </w:r>
          </w:p>
        </w:tc>
        <w:tc>
          <w:tcPr>
            <w:tcW w:type="dxa" w:w="3456"/>
            <w:vAlign w:val="top"/>
          </w:tcPr>
          <w:p>
            <w:r>
              <w:rPr>
                <w:sz w:val="17"/>
              </w:rPr>
              <w:t>Engineering; automated deployments</w:t>
            </w:r>
          </w:p>
        </w:tc>
      </w:tr>
      <w:tr>
        <w:tc>
          <w:tcPr>
            <w:tcW w:type="dxa" w:w="1656"/>
            <w:vAlign w:val="top"/>
          </w:tcPr>
          <w:p>
            <w:r>
              <w:rPr>
                <w:sz w:val="17"/>
              </w:rPr>
              <w:t>Test</w:t>
            </w:r>
          </w:p>
        </w:tc>
        <w:tc>
          <w:tcPr>
            <w:tcW w:type="dxa" w:w="2448"/>
            <w:vAlign w:val="top"/>
          </w:tcPr>
          <w:p>
            <w:r>
              <w:rPr>
                <w:sz w:val="17"/>
              </w:rPr>
              <w:t>QA integration and regression</w:t>
            </w:r>
          </w:p>
        </w:tc>
        <w:tc>
          <w:tcPr>
            <w:tcW w:type="dxa" w:w="2520"/>
            <w:vAlign w:val="top"/>
          </w:tcPr>
          <w:p>
            <w:r>
              <w:rPr>
                <w:sz w:val="17"/>
              </w:rPr>
              <w:t>Controlled synthetic/reference</w:t>
            </w:r>
          </w:p>
        </w:tc>
        <w:tc>
          <w:tcPr>
            <w:tcW w:type="dxa" w:w="3456"/>
            <w:vAlign w:val="top"/>
          </w:tcPr>
          <w:p>
            <w:r>
              <w:rPr>
                <w:sz w:val="17"/>
              </w:rPr>
              <w:t>QA and engineering; stable test configuration</w:t>
            </w:r>
          </w:p>
        </w:tc>
      </w:tr>
      <w:tr>
        <w:tc>
          <w:tcPr>
            <w:tcW w:type="dxa" w:w="1656"/>
            <w:vAlign w:val="top"/>
          </w:tcPr>
          <w:p>
            <w:r>
              <w:rPr>
                <w:sz w:val="17"/>
              </w:rPr>
              <w:t>Staging</w:t>
            </w:r>
          </w:p>
        </w:tc>
        <w:tc>
          <w:tcPr>
            <w:tcW w:type="dxa" w:w="2448"/>
            <w:vAlign w:val="top"/>
          </w:tcPr>
          <w:p>
            <w:r>
              <w:rPr>
                <w:sz w:val="17"/>
              </w:rPr>
              <w:t>Production-like UAT, performance rehearsal and release proof</w:t>
            </w:r>
          </w:p>
        </w:tc>
        <w:tc>
          <w:tcPr>
            <w:tcW w:type="dxa" w:w="2520"/>
            <w:vAlign w:val="top"/>
          </w:tcPr>
          <w:p>
            <w:r>
              <w:rPr>
                <w:sz w:val="17"/>
              </w:rPr>
              <w:t>Masked/synthetic plus approved migration rehearsal</w:t>
            </w:r>
          </w:p>
        </w:tc>
        <w:tc>
          <w:tcPr>
            <w:tcW w:type="dxa" w:w="3456"/>
            <w:vAlign w:val="top"/>
          </w:tcPr>
          <w:p>
            <w:r>
              <w:rPr>
                <w:sz w:val="17"/>
              </w:rPr>
              <w:t>Restricted; release-managed</w:t>
            </w:r>
          </w:p>
        </w:tc>
      </w:tr>
      <w:tr>
        <w:tc>
          <w:tcPr>
            <w:tcW w:type="dxa" w:w="1656"/>
            <w:vAlign w:val="top"/>
          </w:tcPr>
          <w:p>
            <w:r>
              <w:rPr>
                <w:sz w:val="17"/>
              </w:rPr>
              <w:t>Production</w:t>
            </w:r>
          </w:p>
        </w:tc>
        <w:tc>
          <w:tcPr>
            <w:tcW w:type="dxa" w:w="2448"/>
            <w:vAlign w:val="top"/>
          </w:tcPr>
          <w:p>
            <w:r>
              <w:rPr>
                <w:sz w:val="17"/>
              </w:rPr>
              <w:t>Live member service</w:t>
            </w:r>
          </w:p>
        </w:tc>
        <w:tc>
          <w:tcPr>
            <w:tcW w:type="dxa" w:w="2520"/>
            <w:vAlign w:val="top"/>
          </w:tcPr>
          <w:p>
            <w:r>
              <w:rPr>
                <w:sz w:val="17"/>
              </w:rPr>
              <w:t>Real personal/genealogy data</w:t>
            </w:r>
          </w:p>
        </w:tc>
        <w:tc>
          <w:tcPr>
            <w:tcW w:type="dxa" w:w="3456"/>
            <w:vAlign w:val="top"/>
          </w:tcPr>
          <w:p>
            <w:r>
              <w:rPr>
                <w:sz w:val="17"/>
              </w:rPr>
              <w:t>Least privilege, MFA, audited and time-bound</w:t>
            </w:r>
          </w:p>
        </w:tc>
      </w:tr>
      <w:tr>
        <w:tc>
          <w:tcPr>
            <w:tcW w:type="dxa" w:w="1656"/>
            <w:vAlign w:val="top"/>
          </w:tcPr>
          <w:p>
            <w:r>
              <w:rPr>
                <w:sz w:val="17"/>
              </w:rPr>
              <w:t>DR</w:t>
            </w:r>
          </w:p>
        </w:tc>
        <w:tc>
          <w:tcPr>
            <w:tcW w:type="dxa" w:w="2448"/>
            <w:vAlign w:val="top"/>
          </w:tcPr>
          <w:p>
            <w:r>
              <w:rPr>
                <w:sz w:val="17"/>
              </w:rPr>
              <w:t>Recovery capability</w:t>
            </w:r>
          </w:p>
        </w:tc>
        <w:tc>
          <w:tcPr>
            <w:tcW w:type="dxa" w:w="2520"/>
            <w:vAlign w:val="top"/>
          </w:tcPr>
          <w:p>
            <w:r>
              <w:rPr>
                <w:sz w:val="17"/>
              </w:rPr>
              <w:t>Encrypted replicated backups</w:t>
            </w:r>
          </w:p>
        </w:tc>
        <w:tc>
          <w:tcPr>
            <w:tcW w:type="dxa" w:w="3456"/>
            <w:vAlign w:val="top"/>
          </w:tcPr>
          <w:p>
            <w:r>
              <w:rPr>
                <w:sz w:val="17"/>
              </w:rPr>
              <w:t>Emergency roles; tested restoration</w:t>
            </w:r>
          </w:p>
        </w:tc>
      </w:tr>
    </w:tbl>
    <w:p>
      <w:pPr>
        <w:pStyle w:val="Heading1"/>
      </w:pPr>
      <w:r>
        <w:t>16. Architecture delivery controls</w:t>
      </w:r>
    </w:p>
    <w:p>
      <w:pPr>
        <w:pStyle w:val="ListBullet"/>
      </w:pPr>
      <w:r>
        <w:t>Use modular boundaries for identity/profile, genealogy, cultural rules, content/community, communication, notifications, administration and audit.</w:t>
      </w:r>
    </w:p>
    <w:p>
      <w:pPr>
        <w:pStyle w:val="ListBullet"/>
      </w:pPr>
      <w:r>
        <w:t>Use a transactional system of record for authoritative data and purpose-built indexes/caches for discovery; indexes are rebuildable, not authoritative.</w:t>
      </w:r>
    </w:p>
    <w:p>
      <w:pPr>
        <w:pStyle w:val="ListBullet"/>
      </w:pPr>
      <w:r>
        <w:t>APIs are versioned and contract-first; idempotency is required for retryable writes and imports.</w:t>
      </w:r>
    </w:p>
    <w:p>
      <w:pPr>
        <w:pStyle w:val="ListBullet"/>
      </w:pPr>
      <w:r>
        <w:t>Asynchronous work uses durable queues, retry limits, dead-letter handling and correlation IDs.</w:t>
      </w:r>
    </w:p>
    <w:p>
      <w:pPr>
        <w:pStyle w:val="ListBullet"/>
      </w:pPr>
      <w:r>
        <w:t>Genealogy graph operations preserve provenance, effective state, disputes and immutable change history.</w:t>
      </w:r>
    </w:p>
    <w:p>
      <w:pPr>
        <w:pStyle w:val="ListBullet"/>
      </w:pPr>
      <w:r>
        <w:t>Cultural calculations are versioned by approved rule set and return explanation/provenance; unapproved rules never masquerade as authoritative.</w:t>
      </w:r>
    </w:p>
    <w:p>
      <w:pPr>
        <w:pStyle w:val="ListBullet"/>
      </w:pPr>
      <w:r>
        <w:t>Critical managed services are isolated across availability zones where the selected scenario supports it; backups are encrypted and restore-tested.</w:t>
      </w:r>
    </w:p>
    <w:p>
      <w:pPr>
        <w:pStyle w:val="Heading1"/>
      </w:pPr>
      <w:r>
        <w:t>17. Architecture Decision Records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160"/>
            <w:shd w:fill="704214"/>
            <w:vAlign w:val="center"/>
          </w:tcPr>
          <w:p>
            <w:r>
              <w:rPr>
                <w:b/>
                <w:color w:val="FFFFFF"/>
                <w:sz w:val="17"/>
              </w:rPr>
              <w:t>ADR field</w:t>
            </w:r>
          </w:p>
        </w:tc>
        <w:tc>
          <w:tcPr>
            <w:tcW w:type="dxa" w:w="7632"/>
            <w:shd w:fill="704214"/>
            <w:vAlign w:val="center"/>
          </w:tcPr>
          <w:p>
            <w:r>
              <w:rPr>
                <w:b/>
                <w:color w:val="FFFFFF"/>
                <w:sz w:val="17"/>
              </w:rPr>
              <w:t>Required content</w:t>
            </w:r>
          </w:p>
        </w:tc>
      </w:tr>
      <w:tr>
        <w:tc>
          <w:tcPr>
            <w:tcW w:type="dxa" w:w="2160"/>
            <w:vAlign w:val="top"/>
          </w:tcPr>
          <w:p>
            <w:r>
              <w:rPr>
                <w:sz w:val="17"/>
              </w:rPr>
              <w:t>Decision ID / title</w:t>
            </w:r>
          </w:p>
        </w:tc>
        <w:tc>
          <w:tcPr>
            <w:tcW w:type="dxa" w:w="7632"/>
            <w:vAlign w:val="top"/>
          </w:tcPr>
          <w:p>
            <w:r>
              <w:rPr>
                <w:sz w:val="17"/>
              </w:rPr>
              <w:t>Stable identifier and concise decision</w:t>
            </w:r>
          </w:p>
        </w:tc>
      </w:tr>
      <w:tr>
        <w:tc>
          <w:tcPr>
            <w:tcW w:type="dxa" w:w="2160"/>
            <w:vAlign w:val="top"/>
          </w:tcPr>
          <w:p>
            <w:r>
              <w:rPr>
                <w:sz w:val="17"/>
              </w:rPr>
              <w:t>Status</w:t>
            </w:r>
          </w:p>
        </w:tc>
        <w:tc>
          <w:tcPr>
            <w:tcW w:type="dxa" w:w="7632"/>
            <w:vAlign w:val="top"/>
          </w:tcPr>
          <w:p>
            <w:r>
              <w:rPr>
                <w:sz w:val="17"/>
              </w:rPr>
              <w:t>Proposed, accepted, superseded or rejected</w:t>
            </w:r>
          </w:p>
        </w:tc>
      </w:tr>
      <w:tr>
        <w:tc>
          <w:tcPr>
            <w:tcW w:type="dxa" w:w="2160"/>
            <w:vAlign w:val="top"/>
          </w:tcPr>
          <w:p>
            <w:r>
              <w:rPr>
                <w:sz w:val="17"/>
              </w:rPr>
              <w:t>Context</w:t>
            </w:r>
          </w:p>
        </w:tc>
        <w:tc>
          <w:tcPr>
            <w:tcW w:type="dxa" w:w="7632"/>
            <w:vAlign w:val="top"/>
          </w:tcPr>
          <w:p>
            <w:r>
              <w:rPr>
                <w:sz w:val="17"/>
              </w:rPr>
              <w:t>Problem, constraints, quality attributes and affected requirements</w:t>
            </w:r>
          </w:p>
        </w:tc>
      </w:tr>
      <w:tr>
        <w:tc>
          <w:tcPr>
            <w:tcW w:type="dxa" w:w="2160"/>
            <w:vAlign w:val="top"/>
          </w:tcPr>
          <w:p>
            <w:r>
              <w:rPr>
                <w:sz w:val="17"/>
              </w:rPr>
              <w:t>Options</w:t>
            </w:r>
          </w:p>
        </w:tc>
        <w:tc>
          <w:tcPr>
            <w:tcW w:type="dxa" w:w="7632"/>
            <w:vAlign w:val="top"/>
          </w:tcPr>
          <w:p>
            <w:r>
              <w:rPr>
                <w:sz w:val="17"/>
              </w:rPr>
              <w:t>Viable alternatives with cost, security, data and operational implications</w:t>
            </w:r>
          </w:p>
        </w:tc>
      </w:tr>
      <w:tr>
        <w:tc>
          <w:tcPr>
            <w:tcW w:type="dxa" w:w="2160"/>
            <w:vAlign w:val="top"/>
          </w:tcPr>
          <w:p>
            <w:r>
              <w:rPr>
                <w:sz w:val="17"/>
              </w:rPr>
              <w:t>Decision</w:t>
            </w:r>
          </w:p>
        </w:tc>
        <w:tc>
          <w:tcPr>
            <w:tcW w:type="dxa" w:w="7632"/>
            <w:vAlign w:val="top"/>
          </w:tcPr>
          <w:p>
            <w:r>
              <w:rPr>
                <w:sz w:val="17"/>
              </w:rPr>
              <w:t>Selected option and explicit rationale</w:t>
            </w:r>
          </w:p>
        </w:tc>
      </w:tr>
      <w:tr>
        <w:tc>
          <w:tcPr>
            <w:tcW w:type="dxa" w:w="2160"/>
            <w:vAlign w:val="top"/>
          </w:tcPr>
          <w:p>
            <w:r>
              <w:rPr>
                <w:sz w:val="17"/>
              </w:rPr>
              <w:t>Consequences</w:t>
            </w:r>
          </w:p>
        </w:tc>
        <w:tc>
          <w:tcPr>
            <w:tcW w:type="dxa" w:w="7632"/>
            <w:vAlign w:val="top"/>
          </w:tcPr>
          <w:p>
            <w:r>
              <w:rPr>
                <w:sz w:val="17"/>
              </w:rPr>
              <w:t>Benefits, trade-offs, risks, migrations and reversibility</w:t>
            </w:r>
          </w:p>
        </w:tc>
      </w:tr>
      <w:tr>
        <w:tc>
          <w:tcPr>
            <w:tcW w:type="dxa" w:w="2160"/>
            <w:vAlign w:val="top"/>
          </w:tcPr>
          <w:p>
            <w:r>
              <w:rPr>
                <w:sz w:val="17"/>
              </w:rPr>
              <w:t>Approval</w:t>
            </w:r>
          </w:p>
        </w:tc>
        <w:tc>
          <w:tcPr>
            <w:tcW w:type="dxa" w:w="7632"/>
            <w:vAlign w:val="top"/>
          </w:tcPr>
          <w:p>
            <w:r>
              <w:rPr>
                <w:sz w:val="17"/>
              </w:rPr>
              <w:t>Technology Lead plus relevant Product/Security/Privacy/Data authority</w:t>
            </w:r>
          </w:p>
        </w:tc>
      </w:tr>
      <w:tr>
        <w:tc>
          <w:tcPr>
            <w:tcW w:type="dxa" w:w="2160"/>
            <w:vAlign w:val="top"/>
          </w:tcPr>
          <w:p>
            <w:r>
              <w:rPr>
                <w:sz w:val="17"/>
              </w:rPr>
              <w:t>Traceability</w:t>
            </w:r>
          </w:p>
        </w:tc>
        <w:tc>
          <w:tcPr>
            <w:tcW w:type="dxa" w:w="7632"/>
            <w:vAlign w:val="top"/>
          </w:tcPr>
          <w:p>
            <w:r>
              <w:rPr>
                <w:sz w:val="17"/>
              </w:rPr>
              <w:t>Related requirements, APIs, schemas, code and tests</w:t>
            </w:r>
          </w:p>
        </w:tc>
      </w:tr>
    </w:tbl>
    <w:p>
      <w:pPr>
        <w:pStyle w:val="Heading1"/>
      </w:pPr>
      <w:r>
        <w:t>18. API, event and data-contract standard</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1944"/>
            <w:shd w:fill="704214"/>
            <w:vAlign w:val="center"/>
          </w:tcPr>
          <w:p>
            <w:r>
              <w:rPr>
                <w:b/>
                <w:color w:val="FFFFFF"/>
                <w:sz w:val="17"/>
              </w:rPr>
              <w:t>Area</w:t>
            </w:r>
          </w:p>
        </w:tc>
        <w:tc>
          <w:tcPr>
            <w:tcW w:type="dxa" w:w="7848"/>
            <w:shd w:fill="704214"/>
            <w:vAlign w:val="center"/>
          </w:tcPr>
          <w:p>
            <w:r>
              <w:rPr>
                <w:b/>
                <w:color w:val="FFFFFF"/>
                <w:sz w:val="17"/>
              </w:rPr>
              <w:t>Frozen engineering rule</w:t>
            </w:r>
          </w:p>
        </w:tc>
      </w:tr>
      <w:tr>
        <w:tc>
          <w:tcPr>
            <w:tcW w:type="dxa" w:w="1944"/>
            <w:vAlign w:val="top"/>
          </w:tcPr>
          <w:p>
            <w:r>
              <w:rPr>
                <w:sz w:val="17"/>
              </w:rPr>
              <w:t>API style</w:t>
            </w:r>
          </w:p>
        </w:tc>
        <w:tc>
          <w:tcPr>
            <w:tcW w:type="dxa" w:w="7848"/>
            <w:vAlign w:val="top"/>
          </w:tcPr>
          <w:p>
            <w:r>
              <w:rPr>
                <w:sz w:val="17"/>
              </w:rPr>
              <w:t>Versioned HTTPS JSON APIs unless an approved ADR selects another protocol; OpenAPI is authoritative.</w:t>
            </w:r>
          </w:p>
        </w:tc>
      </w:tr>
      <w:tr>
        <w:tc>
          <w:tcPr>
            <w:tcW w:type="dxa" w:w="1944"/>
            <w:vAlign w:val="top"/>
          </w:tcPr>
          <w:p>
            <w:r>
              <w:rPr>
                <w:sz w:val="17"/>
              </w:rPr>
              <w:t>Authentication</w:t>
            </w:r>
          </w:p>
        </w:tc>
        <w:tc>
          <w:tcPr>
            <w:tcW w:type="dxa" w:w="7848"/>
            <w:vAlign w:val="top"/>
          </w:tcPr>
          <w:p>
            <w:r>
              <w:rPr>
                <w:sz w:val="17"/>
              </w:rPr>
              <w:t>OTP-backed account authentication with secure session/token lifecycle; privileged users require MFA.</w:t>
            </w:r>
          </w:p>
        </w:tc>
      </w:tr>
      <w:tr>
        <w:tc>
          <w:tcPr>
            <w:tcW w:type="dxa" w:w="1944"/>
            <w:vAlign w:val="top"/>
          </w:tcPr>
          <w:p>
            <w:r>
              <w:rPr>
                <w:sz w:val="17"/>
              </w:rPr>
              <w:t>Authorization</w:t>
            </w:r>
          </w:p>
        </w:tc>
        <w:tc>
          <w:tcPr>
            <w:tcW w:type="dxa" w:w="7848"/>
            <w:vAlign w:val="top"/>
          </w:tcPr>
          <w:p>
            <w:r>
              <w:rPr>
                <w:sz w:val="17"/>
              </w:rPr>
              <w:t>Server-side RBAC plus branch/resource scope and field-level privacy checks; UI hiding is never sufficient.</w:t>
            </w:r>
          </w:p>
        </w:tc>
      </w:tr>
      <w:tr>
        <w:tc>
          <w:tcPr>
            <w:tcW w:type="dxa" w:w="1944"/>
            <w:vAlign w:val="top"/>
          </w:tcPr>
          <w:p>
            <w:r>
              <w:rPr>
                <w:sz w:val="17"/>
              </w:rPr>
              <w:t>Errors</w:t>
            </w:r>
          </w:p>
        </w:tc>
        <w:tc>
          <w:tcPr>
            <w:tcW w:type="dxa" w:w="7848"/>
            <w:vAlign w:val="top"/>
          </w:tcPr>
          <w:p>
            <w:r>
              <w:rPr>
                <w:sz w:val="17"/>
              </w:rPr>
              <w:t>Stable machine code, safe user message, correlation ID and retry guidance; no sensitive internals.</w:t>
            </w:r>
          </w:p>
        </w:tc>
      </w:tr>
      <w:tr>
        <w:tc>
          <w:tcPr>
            <w:tcW w:type="dxa" w:w="1944"/>
            <w:vAlign w:val="top"/>
          </w:tcPr>
          <w:p>
            <w:r>
              <w:rPr>
                <w:sz w:val="17"/>
              </w:rPr>
              <w:t>Idempotency</w:t>
            </w:r>
          </w:p>
        </w:tc>
        <w:tc>
          <w:tcPr>
            <w:tcW w:type="dxa" w:w="7848"/>
            <w:vAlign w:val="top"/>
          </w:tcPr>
          <w:p>
            <w:r>
              <w:rPr>
                <w:sz w:val="17"/>
              </w:rPr>
              <w:t>Required for imports, approvals, merges, invitations, notifications and externally retryable writes.</w:t>
            </w:r>
          </w:p>
        </w:tc>
      </w:tr>
      <w:tr>
        <w:tc>
          <w:tcPr>
            <w:tcW w:type="dxa" w:w="1944"/>
            <w:vAlign w:val="top"/>
          </w:tcPr>
          <w:p>
            <w:r>
              <w:rPr>
                <w:sz w:val="17"/>
              </w:rPr>
              <w:t>Pagination/search</w:t>
            </w:r>
          </w:p>
        </w:tc>
        <w:tc>
          <w:tcPr>
            <w:tcW w:type="dxa" w:w="7848"/>
            <w:vAlign w:val="top"/>
          </w:tcPr>
          <w:p>
            <w:r>
              <w:rPr>
                <w:sz w:val="17"/>
              </w:rPr>
              <w:t>Stable cursor-based pagination for large mutable sets; documented filters and limits.</w:t>
            </w:r>
          </w:p>
        </w:tc>
      </w:tr>
      <w:tr>
        <w:tc>
          <w:tcPr>
            <w:tcW w:type="dxa" w:w="1944"/>
            <w:vAlign w:val="top"/>
          </w:tcPr>
          <w:p>
            <w:r>
              <w:rPr>
                <w:sz w:val="17"/>
              </w:rPr>
              <w:t>Events</w:t>
            </w:r>
          </w:p>
        </w:tc>
        <w:tc>
          <w:tcPr>
            <w:tcW w:type="dxa" w:w="7848"/>
            <w:vAlign w:val="top"/>
          </w:tcPr>
          <w:p>
            <w:r>
              <w:rPr>
                <w:sz w:val="17"/>
              </w:rPr>
              <w:t>Versioned schema, producer, consumer, ordering/idempotency expectations, retry and dead-letter policy.</w:t>
            </w:r>
          </w:p>
        </w:tc>
      </w:tr>
      <w:tr>
        <w:tc>
          <w:tcPr>
            <w:tcW w:type="dxa" w:w="1944"/>
            <w:vAlign w:val="top"/>
          </w:tcPr>
          <w:p>
            <w:r>
              <w:rPr>
                <w:sz w:val="17"/>
              </w:rPr>
              <w:t>Compatibility</w:t>
            </w:r>
          </w:p>
        </w:tc>
        <w:tc>
          <w:tcPr>
            <w:tcW w:type="dxa" w:w="7848"/>
            <w:vAlign w:val="top"/>
          </w:tcPr>
          <w:p>
            <w:r>
              <w:rPr>
                <w:sz w:val="17"/>
              </w:rPr>
              <w:t>Backward-compatible changes by default; breaking changes require version, migration and client rollout plan.</w:t>
            </w:r>
          </w:p>
        </w:tc>
      </w:tr>
      <w:tr>
        <w:tc>
          <w:tcPr>
            <w:tcW w:type="dxa" w:w="1944"/>
            <w:vAlign w:val="top"/>
          </w:tcPr>
          <w:p>
            <w:r>
              <w:rPr>
                <w:sz w:val="17"/>
              </w:rPr>
              <w:t>Data migrations</w:t>
            </w:r>
          </w:p>
        </w:tc>
        <w:tc>
          <w:tcPr>
            <w:tcW w:type="dxa" w:w="7848"/>
            <w:vAlign w:val="top"/>
          </w:tcPr>
          <w:p>
            <w:r>
              <w:rPr>
                <w:sz w:val="17"/>
              </w:rPr>
              <w:t>Ordered, repeatable, observable, backup-aware and tested against rollback/forward-fix procedure.</w:t>
            </w:r>
          </w:p>
        </w:tc>
      </w:tr>
      <w:tr>
        <w:tc>
          <w:tcPr>
            <w:tcW w:type="dxa" w:w="1944"/>
            <w:vAlign w:val="top"/>
          </w:tcPr>
          <w:p>
            <w:r>
              <w:rPr>
                <w:sz w:val="17"/>
              </w:rPr>
              <w:t>Audit</w:t>
            </w:r>
          </w:p>
        </w:tc>
        <w:tc>
          <w:tcPr>
            <w:tcW w:type="dxa" w:w="7848"/>
            <w:vAlign w:val="top"/>
          </w:tcPr>
          <w:p>
            <w:r>
              <w:rPr>
                <w:sz w:val="17"/>
              </w:rPr>
              <w:t>Actor, role, scope, action, target, before/after or delta, reason, timestamp and correlation preserved.</w:t>
            </w:r>
          </w:p>
        </w:tc>
      </w:tr>
    </w:tbl>
    <w:p>
      <w:pPr>
        <w:pStyle w:val="Heading1"/>
      </w:pPr>
      <w:r>
        <w:t>19. Security and privacy engineering</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088"/>
            <w:shd w:fill="704214"/>
            <w:vAlign w:val="center"/>
          </w:tcPr>
          <w:p>
            <w:r>
              <w:rPr>
                <w:b/>
                <w:color w:val="FFFFFF"/>
                <w:sz w:val="17"/>
              </w:rPr>
              <w:t>Control domain</w:t>
            </w:r>
          </w:p>
        </w:tc>
        <w:tc>
          <w:tcPr>
            <w:tcW w:type="dxa" w:w="7704"/>
            <w:shd w:fill="704214"/>
            <w:vAlign w:val="center"/>
          </w:tcPr>
          <w:p>
            <w:r>
              <w:rPr>
                <w:b/>
                <w:color w:val="FFFFFF"/>
                <w:sz w:val="17"/>
              </w:rPr>
              <w:t>Minimum implementation evidence</w:t>
            </w:r>
          </w:p>
        </w:tc>
      </w:tr>
      <w:tr>
        <w:tc>
          <w:tcPr>
            <w:tcW w:type="dxa" w:w="2088"/>
            <w:vAlign w:val="top"/>
          </w:tcPr>
          <w:p>
            <w:r>
              <w:rPr>
                <w:sz w:val="17"/>
              </w:rPr>
              <w:t>Identity/session</w:t>
            </w:r>
          </w:p>
        </w:tc>
        <w:tc>
          <w:tcPr>
            <w:tcW w:type="dxa" w:w="7704"/>
            <w:vAlign w:val="top"/>
          </w:tcPr>
          <w:p>
            <w:r>
              <w:rPr>
                <w:sz w:val="17"/>
              </w:rPr>
              <w:t>OTP abuse protection, secure tokens, revocation, device/session visibility and privileged MFA</w:t>
            </w:r>
          </w:p>
        </w:tc>
      </w:tr>
      <w:tr>
        <w:tc>
          <w:tcPr>
            <w:tcW w:type="dxa" w:w="2088"/>
            <w:vAlign w:val="top"/>
          </w:tcPr>
          <w:p>
            <w:r>
              <w:rPr>
                <w:sz w:val="17"/>
              </w:rPr>
              <w:t>Authorization</w:t>
            </w:r>
          </w:p>
        </w:tc>
        <w:tc>
          <w:tcPr>
            <w:tcW w:type="dxa" w:w="7704"/>
            <w:vAlign w:val="top"/>
          </w:tcPr>
          <w:p>
            <w:r>
              <w:rPr>
                <w:sz w:val="17"/>
              </w:rPr>
              <w:t>Permission tests for role, branch, relationship, object ownership and sensitive fields</w:t>
            </w:r>
          </w:p>
        </w:tc>
      </w:tr>
      <w:tr>
        <w:tc>
          <w:tcPr>
            <w:tcW w:type="dxa" w:w="2088"/>
            <w:vAlign w:val="top"/>
          </w:tcPr>
          <w:p>
            <w:r>
              <w:rPr>
                <w:sz w:val="17"/>
              </w:rPr>
              <w:t>Data protection</w:t>
            </w:r>
          </w:p>
        </w:tc>
        <w:tc>
          <w:tcPr>
            <w:tcW w:type="dxa" w:w="7704"/>
            <w:vAlign w:val="top"/>
          </w:tcPr>
          <w:p>
            <w:r>
              <w:rPr>
                <w:sz w:val="17"/>
              </w:rPr>
              <w:t>TLS, encryption at rest, managed secrets, key rotation, backup encryption and environment separation</w:t>
            </w:r>
          </w:p>
        </w:tc>
      </w:tr>
      <w:tr>
        <w:tc>
          <w:tcPr>
            <w:tcW w:type="dxa" w:w="2088"/>
            <w:vAlign w:val="top"/>
          </w:tcPr>
          <w:p>
            <w:r>
              <w:rPr>
                <w:sz w:val="17"/>
              </w:rPr>
              <w:t>Application security</w:t>
            </w:r>
          </w:p>
        </w:tc>
        <w:tc>
          <w:tcPr>
            <w:tcW w:type="dxa" w:w="7704"/>
            <w:vAlign w:val="top"/>
          </w:tcPr>
          <w:p>
            <w:r>
              <w:rPr>
                <w:sz w:val="17"/>
              </w:rPr>
              <w:t>Validation, parameterization, CSRF/XSS/SSRF protections as applicable, file scanning and safe rendering</w:t>
            </w:r>
          </w:p>
        </w:tc>
      </w:tr>
      <w:tr>
        <w:tc>
          <w:tcPr>
            <w:tcW w:type="dxa" w:w="2088"/>
            <w:vAlign w:val="top"/>
          </w:tcPr>
          <w:p>
            <w:r>
              <w:rPr>
                <w:sz w:val="17"/>
              </w:rPr>
              <w:t>Mobile security</w:t>
            </w:r>
          </w:p>
        </w:tc>
        <w:tc>
          <w:tcPr>
            <w:tcW w:type="dxa" w:w="7704"/>
            <w:vAlign w:val="top"/>
          </w:tcPr>
          <w:p>
            <w:r>
              <w:rPr>
                <w:sz w:val="17"/>
              </w:rPr>
              <w:t>Secure storage, certificate/network controls, tamper-aware logging, no secrets in app package</w:t>
            </w:r>
          </w:p>
        </w:tc>
      </w:tr>
      <w:tr>
        <w:tc>
          <w:tcPr>
            <w:tcW w:type="dxa" w:w="2088"/>
            <w:vAlign w:val="top"/>
          </w:tcPr>
          <w:p>
            <w:r>
              <w:rPr>
                <w:sz w:val="17"/>
              </w:rPr>
              <w:t>Privacy</w:t>
            </w:r>
          </w:p>
        </w:tc>
        <w:tc>
          <w:tcPr>
            <w:tcW w:type="dxa" w:w="7704"/>
            <w:vAlign w:val="top"/>
          </w:tcPr>
          <w:p>
            <w:r>
              <w:rPr>
                <w:sz w:val="17"/>
              </w:rPr>
              <w:t>Purpose/consent, minimization, field visibility, minors, account deletion, retention and rights workflow</w:t>
            </w:r>
          </w:p>
        </w:tc>
      </w:tr>
      <w:tr>
        <w:tc>
          <w:tcPr>
            <w:tcW w:type="dxa" w:w="2088"/>
            <w:vAlign w:val="top"/>
          </w:tcPr>
          <w:p>
            <w:r>
              <w:rPr>
                <w:sz w:val="17"/>
              </w:rPr>
              <w:t>Abuse/moderation</w:t>
            </w:r>
          </w:p>
        </w:tc>
        <w:tc>
          <w:tcPr>
            <w:tcW w:type="dxa" w:w="7704"/>
            <w:vAlign w:val="top"/>
          </w:tcPr>
          <w:p>
            <w:r>
              <w:rPr>
                <w:sz w:val="17"/>
              </w:rPr>
              <w:t>Rate limits, reporting, blocking, moderation evidence, spam/media controls and escalation</w:t>
            </w:r>
          </w:p>
        </w:tc>
      </w:tr>
      <w:tr>
        <w:tc>
          <w:tcPr>
            <w:tcW w:type="dxa" w:w="2088"/>
            <w:vAlign w:val="top"/>
          </w:tcPr>
          <w:p>
            <w:r>
              <w:rPr>
                <w:sz w:val="17"/>
              </w:rPr>
              <w:t>Supply chain</w:t>
            </w:r>
          </w:p>
        </w:tc>
        <w:tc>
          <w:tcPr>
            <w:tcW w:type="dxa" w:w="7704"/>
            <w:vAlign w:val="top"/>
          </w:tcPr>
          <w:p>
            <w:r>
              <w:rPr>
                <w:sz w:val="17"/>
              </w:rPr>
              <w:t>Locked dependencies, SBOM, provenance, vulnerability SLAs and signed release artifacts</w:t>
            </w:r>
          </w:p>
        </w:tc>
      </w:tr>
      <w:tr>
        <w:tc>
          <w:tcPr>
            <w:tcW w:type="dxa" w:w="2088"/>
            <w:vAlign w:val="top"/>
          </w:tcPr>
          <w:p>
            <w:r>
              <w:rPr>
                <w:sz w:val="17"/>
              </w:rPr>
              <w:t>Monitoring</w:t>
            </w:r>
          </w:p>
        </w:tc>
        <w:tc>
          <w:tcPr>
            <w:tcW w:type="dxa" w:w="7704"/>
            <w:vAlign w:val="top"/>
          </w:tcPr>
          <w:p>
            <w:r>
              <w:rPr>
                <w:sz w:val="17"/>
              </w:rPr>
              <w:t>Security events, privileged changes, anomalous OTP/access, data exports and integrity failures</w:t>
            </w:r>
          </w:p>
        </w:tc>
      </w:tr>
      <w:tr>
        <w:tc>
          <w:tcPr>
            <w:tcW w:type="dxa" w:w="2088"/>
            <w:vAlign w:val="top"/>
          </w:tcPr>
          <w:p>
            <w:r>
              <w:rPr>
                <w:sz w:val="17"/>
              </w:rPr>
              <w:t>Assurance</w:t>
            </w:r>
          </w:p>
        </w:tc>
        <w:tc>
          <w:tcPr>
            <w:tcW w:type="dxa" w:w="7704"/>
            <w:vAlign w:val="top"/>
          </w:tcPr>
          <w:p>
            <w:r>
              <w:rPr>
                <w:sz w:val="17"/>
              </w:rPr>
              <w:t>Threat model updated per epic; independent test before production and after material change</w:t>
            </w:r>
          </w:p>
        </w:tc>
      </w:tr>
    </w:tbl>
    <w:p>
      <w:pPr>
        <w:pStyle w:val="Heading1"/>
      </w:pPr>
      <w:r>
        <w:t>20. Data classification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656"/>
            <w:shd w:fill="704214"/>
            <w:vAlign w:val="center"/>
          </w:tcPr>
          <w:p>
            <w:r>
              <w:rPr>
                <w:b/>
                <w:color w:val="FFFFFF"/>
                <w:sz w:val="17"/>
              </w:rPr>
              <w:t>Class</w:t>
            </w:r>
          </w:p>
        </w:tc>
        <w:tc>
          <w:tcPr>
            <w:tcW w:type="dxa" w:w="3456"/>
            <w:shd w:fill="704214"/>
            <w:vAlign w:val="center"/>
          </w:tcPr>
          <w:p>
            <w:r>
              <w:rPr>
                <w:b/>
                <w:color w:val="FFFFFF"/>
                <w:sz w:val="17"/>
              </w:rPr>
              <w:t>Examples</w:t>
            </w:r>
          </w:p>
        </w:tc>
        <w:tc>
          <w:tcPr>
            <w:tcW w:type="dxa" w:w="4680"/>
            <w:shd w:fill="704214"/>
            <w:vAlign w:val="center"/>
          </w:tcPr>
          <w:p>
            <w:r>
              <w:rPr>
                <w:b/>
                <w:color w:val="FFFFFF"/>
                <w:sz w:val="17"/>
              </w:rPr>
              <w:t>Default treatment</w:t>
            </w:r>
          </w:p>
        </w:tc>
      </w:tr>
      <w:tr>
        <w:tc>
          <w:tcPr>
            <w:tcW w:type="dxa" w:w="1656"/>
            <w:vAlign w:val="top"/>
          </w:tcPr>
          <w:p>
            <w:r>
              <w:rPr>
                <w:sz w:val="17"/>
              </w:rPr>
              <w:t>Public</w:t>
            </w:r>
          </w:p>
        </w:tc>
        <w:tc>
          <w:tcPr>
            <w:tcW w:type="dxa" w:w="3456"/>
            <w:vAlign w:val="top"/>
          </w:tcPr>
          <w:p>
            <w:r>
              <w:rPr>
                <w:sz w:val="17"/>
              </w:rPr>
              <w:t>Approved cultural/history content and public announcements</w:t>
            </w:r>
          </w:p>
        </w:tc>
        <w:tc>
          <w:tcPr>
            <w:tcW w:type="dxa" w:w="4680"/>
            <w:vAlign w:val="top"/>
          </w:tcPr>
          <w:p>
            <w:r>
              <w:rPr>
                <w:sz w:val="17"/>
              </w:rPr>
              <w:t>Publish only through governed workflow</w:t>
            </w:r>
          </w:p>
        </w:tc>
      </w:tr>
      <w:tr>
        <w:tc>
          <w:tcPr>
            <w:tcW w:type="dxa" w:w="1656"/>
            <w:vAlign w:val="top"/>
          </w:tcPr>
          <w:p>
            <w:r>
              <w:rPr>
                <w:sz w:val="17"/>
              </w:rPr>
              <w:t>Member</w:t>
            </w:r>
          </w:p>
        </w:tc>
        <w:tc>
          <w:tcPr>
            <w:tcW w:type="dxa" w:w="3456"/>
            <w:vAlign w:val="top"/>
          </w:tcPr>
          <w:p>
            <w:r>
              <w:rPr>
                <w:sz w:val="17"/>
              </w:rPr>
              <w:t>Basic verified member-facing community information</w:t>
            </w:r>
          </w:p>
        </w:tc>
        <w:tc>
          <w:tcPr>
            <w:tcW w:type="dxa" w:w="4680"/>
            <w:vAlign w:val="top"/>
          </w:tcPr>
          <w:p>
            <w:r>
              <w:rPr>
                <w:sz w:val="17"/>
              </w:rPr>
              <w:t>Authenticated access; no indexing outside service</w:t>
            </w:r>
          </w:p>
        </w:tc>
      </w:tr>
      <w:tr>
        <w:tc>
          <w:tcPr>
            <w:tcW w:type="dxa" w:w="1656"/>
            <w:vAlign w:val="top"/>
          </w:tcPr>
          <w:p>
            <w:r>
              <w:rPr>
                <w:sz w:val="17"/>
              </w:rPr>
              <w:t>Sensitive</w:t>
            </w:r>
          </w:p>
        </w:tc>
        <w:tc>
          <w:tcPr>
            <w:tcW w:type="dxa" w:w="3456"/>
            <w:vAlign w:val="top"/>
          </w:tcPr>
          <w:p>
            <w:r>
              <w:rPr>
                <w:sz w:val="17"/>
              </w:rPr>
              <w:t>Contact, precise location, relationships, claims, messages, evidence</w:t>
            </w:r>
          </w:p>
        </w:tc>
        <w:tc>
          <w:tcPr>
            <w:tcW w:type="dxa" w:w="4680"/>
            <w:vAlign w:val="top"/>
          </w:tcPr>
          <w:p>
            <w:r>
              <w:rPr>
                <w:sz w:val="17"/>
              </w:rPr>
              <w:t>Field-level access, audit and restricted export</w:t>
            </w:r>
          </w:p>
        </w:tc>
      </w:tr>
      <w:tr>
        <w:tc>
          <w:tcPr>
            <w:tcW w:type="dxa" w:w="1656"/>
            <w:vAlign w:val="top"/>
          </w:tcPr>
          <w:p>
            <w:r>
              <w:rPr>
                <w:sz w:val="17"/>
              </w:rPr>
              <w:t>Highly restricted</w:t>
            </w:r>
          </w:p>
        </w:tc>
        <w:tc>
          <w:tcPr>
            <w:tcW w:type="dxa" w:w="3456"/>
            <w:vAlign w:val="top"/>
          </w:tcPr>
          <w:p>
            <w:r>
              <w:rPr>
                <w:sz w:val="17"/>
              </w:rPr>
              <w:t>Minors, disputed parentage, adoption/guardianship evidence, security secrets</w:t>
            </w:r>
          </w:p>
        </w:tc>
        <w:tc>
          <w:tcPr>
            <w:tcW w:type="dxa" w:w="4680"/>
            <w:vAlign w:val="top"/>
          </w:tcPr>
          <w:p>
            <w:r>
              <w:rPr>
                <w:sz w:val="17"/>
              </w:rPr>
              <w:t>Need-to-know, enhanced approval, strong encryption and minimal retention</w:t>
            </w:r>
          </w:p>
        </w:tc>
      </w:tr>
      <w:tr>
        <w:tc>
          <w:tcPr>
            <w:tcW w:type="dxa" w:w="1656"/>
            <w:vAlign w:val="top"/>
          </w:tcPr>
          <w:p>
            <w:r>
              <w:rPr>
                <w:sz w:val="17"/>
              </w:rPr>
              <w:t>Audit/operational</w:t>
            </w:r>
          </w:p>
        </w:tc>
        <w:tc>
          <w:tcPr>
            <w:tcW w:type="dxa" w:w="3456"/>
            <w:vAlign w:val="top"/>
          </w:tcPr>
          <w:p>
            <w:r>
              <w:rPr>
                <w:sz w:val="17"/>
              </w:rPr>
              <w:t>Security logs, approval history, telemetry</w:t>
            </w:r>
          </w:p>
        </w:tc>
        <w:tc>
          <w:tcPr>
            <w:tcW w:type="dxa" w:w="4680"/>
            <w:vAlign w:val="top"/>
          </w:tcPr>
          <w:p>
            <w:r>
              <w:rPr>
                <w:sz w:val="17"/>
              </w:rPr>
              <w:t>Integrity protection, access restrictions and retention schedule</w:t>
            </w:r>
          </w:p>
        </w:tc>
      </w:tr>
    </w:tbl>
    <w:p>
      <w:pPr>
        <w:pStyle w:val="Heading1"/>
      </w:pPr>
      <w:r>
        <w:t>21. Genealogy and cultural-rule engineering</w:t>
      </w:r>
    </w:p>
    <w:p>
      <w:pPr>
        <w:pStyle w:val="ListBullet"/>
      </w:pPr>
      <w:r>
        <w:t>Store persons, parent-child edges, spouse/union history, aliases, sources, claims, disputes and effective status as separately governed records.</w:t>
      </w:r>
    </w:p>
    <w:p>
      <w:pPr>
        <w:pStyle w:val="ListBullet"/>
      </w:pPr>
      <w:r>
        <w:t>Validate impossible cycles, conflicting parentage, date inconsistencies, duplicates and self-relationships before approval.</w:t>
      </w:r>
    </w:p>
    <w:p>
      <w:pPr>
        <w:pStyle w:val="ListBullet"/>
      </w:pPr>
      <w:r>
        <w:t>Merges preserve canonical identity, all source references, prior identifiers, decisions and rollback/compensation evidence.</w:t>
      </w:r>
    </w:p>
    <w:p>
      <w:pPr>
        <w:pStyle w:val="ListBullet"/>
      </w:pPr>
      <w:r>
        <w:t>Nata/Saino returns primary and alternative valid paths under versioned priority rules; unsupported terminology uses neutral path wording.</w:t>
      </w:r>
    </w:p>
    <w:p>
      <w:pPr>
        <w:pStyle w:val="ListBullet"/>
      </w:pPr>
      <w:r>
        <w:t>Adopted, step, half, guardian, former-spouse, unknown and disputed states remain explicit and privacy-aware.</w:t>
      </w:r>
    </w:p>
    <w:p>
      <w:pPr>
        <w:pStyle w:val="ListBullet"/>
      </w:pPr>
      <w:r>
        <w:t>Jutho, Tithi and Shraddha calculators activate only with approved versioned rule tables, timezone/calendar source and reference tests.</w:t>
      </w:r>
    </w:p>
    <w:p>
      <w:pPr>
        <w:pStyle w:val="ListBullet"/>
      </w:pPr>
      <w:r>
        <w:t>Every calculated cultural output displays rule version, explanation, authority status and correction route.</w:t>
      </w:r>
    </w:p>
    <w:p>
      <w:pPr>
        <w:pStyle w:val="Heading1"/>
      </w:pPr>
      <w:r>
        <w:t>22. Data migration lifecycle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728"/>
            <w:shd w:fill="704214"/>
            <w:vAlign w:val="center"/>
          </w:tcPr>
          <w:p>
            <w:r>
              <w:rPr>
                <w:b/>
                <w:color w:val="FFFFFF"/>
                <w:sz w:val="17"/>
              </w:rPr>
              <w:t>Stage</w:t>
            </w:r>
          </w:p>
        </w:tc>
        <w:tc>
          <w:tcPr>
            <w:tcW w:type="dxa" w:w="5256"/>
            <w:shd w:fill="704214"/>
            <w:vAlign w:val="center"/>
          </w:tcPr>
          <w:p>
            <w:r>
              <w:rPr>
                <w:b/>
                <w:color w:val="FFFFFF"/>
                <w:sz w:val="17"/>
              </w:rPr>
              <w:t>Mandatory work</w:t>
            </w:r>
          </w:p>
        </w:tc>
        <w:tc>
          <w:tcPr>
            <w:tcW w:type="dxa" w:w="2808"/>
            <w:shd w:fill="704214"/>
            <w:vAlign w:val="center"/>
          </w:tcPr>
          <w:p>
            <w:r>
              <w:rPr>
                <w:b/>
                <w:color w:val="FFFFFF"/>
                <w:sz w:val="17"/>
              </w:rPr>
              <w:t>Exit evidence</w:t>
            </w:r>
          </w:p>
        </w:tc>
      </w:tr>
      <w:tr>
        <w:tc>
          <w:tcPr>
            <w:tcW w:type="dxa" w:w="1728"/>
            <w:vAlign w:val="top"/>
          </w:tcPr>
          <w:p>
            <w:r>
              <w:rPr>
                <w:sz w:val="17"/>
              </w:rPr>
              <w:t>Inventory</w:t>
            </w:r>
          </w:p>
        </w:tc>
        <w:tc>
          <w:tcPr>
            <w:tcW w:type="dxa" w:w="5256"/>
            <w:vAlign w:val="top"/>
          </w:tcPr>
          <w:p>
            <w:r>
              <w:rPr>
                <w:sz w:val="17"/>
              </w:rPr>
              <w:t>Identify source books/files, custodians, formats, consent, quality and scope</w:t>
            </w:r>
          </w:p>
        </w:tc>
        <w:tc>
          <w:tcPr>
            <w:tcW w:type="dxa" w:w="2808"/>
            <w:vAlign w:val="top"/>
          </w:tcPr>
          <w:p>
            <w:r>
              <w:rPr>
                <w:sz w:val="17"/>
              </w:rPr>
              <w:t>Signed inventory and risk classification</w:t>
            </w:r>
          </w:p>
        </w:tc>
      </w:tr>
      <w:tr>
        <w:tc>
          <w:tcPr>
            <w:tcW w:type="dxa" w:w="1728"/>
            <w:vAlign w:val="top"/>
          </w:tcPr>
          <w:p>
            <w:r>
              <w:rPr>
                <w:sz w:val="17"/>
              </w:rPr>
              <w:t>Mapping</w:t>
            </w:r>
          </w:p>
        </w:tc>
        <w:tc>
          <w:tcPr>
            <w:tcW w:type="dxa" w:w="5256"/>
            <w:vAlign w:val="top"/>
          </w:tcPr>
          <w:p>
            <w:r>
              <w:rPr>
                <w:sz w:val="17"/>
              </w:rPr>
              <w:t>Map source fields to controlled IDs, values, calendars, evidence and privacy fields</w:t>
            </w:r>
          </w:p>
        </w:tc>
        <w:tc>
          <w:tcPr>
            <w:tcW w:type="dxa" w:w="2808"/>
            <w:vAlign w:val="top"/>
          </w:tcPr>
          <w:p>
            <w:r>
              <w:rPr>
                <w:sz w:val="17"/>
              </w:rPr>
              <w:t>Approved mapping workbook</w:t>
            </w:r>
          </w:p>
        </w:tc>
      </w:tr>
      <w:tr>
        <w:tc>
          <w:tcPr>
            <w:tcW w:type="dxa" w:w="1728"/>
            <w:vAlign w:val="top"/>
          </w:tcPr>
          <w:p>
            <w:r>
              <w:rPr>
                <w:sz w:val="17"/>
              </w:rPr>
              <w:t>Cleanse</w:t>
            </w:r>
          </w:p>
        </w:tc>
        <w:tc>
          <w:tcPr>
            <w:tcW w:type="dxa" w:w="5256"/>
            <w:vAlign w:val="top"/>
          </w:tcPr>
          <w:p>
            <w:r>
              <w:rPr>
                <w:sz w:val="17"/>
              </w:rPr>
              <w:t>Normalize spelling/calendar values; flag rather than erase uncertainty/disputes</w:t>
            </w:r>
          </w:p>
        </w:tc>
        <w:tc>
          <w:tcPr>
            <w:tcW w:type="dxa" w:w="2808"/>
            <w:vAlign w:val="top"/>
          </w:tcPr>
          <w:p>
            <w:r>
              <w:rPr>
                <w:sz w:val="17"/>
              </w:rPr>
              <w:t>Quality report and exception queue</w:t>
            </w:r>
          </w:p>
        </w:tc>
      </w:tr>
      <w:tr>
        <w:tc>
          <w:tcPr>
            <w:tcW w:type="dxa" w:w="1728"/>
            <w:vAlign w:val="top"/>
          </w:tcPr>
          <w:p>
            <w:r>
              <w:rPr>
                <w:sz w:val="17"/>
              </w:rPr>
              <w:t>Deduplicate</w:t>
            </w:r>
          </w:p>
        </w:tc>
        <w:tc>
          <w:tcPr>
            <w:tcW w:type="dxa" w:w="5256"/>
            <w:vAlign w:val="top"/>
          </w:tcPr>
          <w:p>
            <w:r>
              <w:rPr>
                <w:sz w:val="17"/>
              </w:rPr>
              <w:t>Deterministic/fuzzy candidates; human decision for merges</w:t>
            </w:r>
          </w:p>
        </w:tc>
        <w:tc>
          <w:tcPr>
            <w:tcW w:type="dxa" w:w="2808"/>
            <w:vAlign w:val="top"/>
          </w:tcPr>
          <w:p>
            <w:r>
              <w:rPr>
                <w:sz w:val="17"/>
              </w:rPr>
              <w:t>Candidate and decision log</w:t>
            </w:r>
          </w:p>
        </w:tc>
      </w:tr>
      <w:tr>
        <w:tc>
          <w:tcPr>
            <w:tcW w:type="dxa" w:w="1728"/>
            <w:vAlign w:val="top"/>
          </w:tcPr>
          <w:p>
            <w:r>
              <w:rPr>
                <w:sz w:val="17"/>
              </w:rPr>
              <w:t>Dry run</w:t>
            </w:r>
          </w:p>
        </w:tc>
        <w:tc>
          <w:tcPr>
            <w:tcW w:type="dxa" w:w="5256"/>
            <w:vAlign w:val="top"/>
          </w:tcPr>
          <w:p>
            <w:r>
              <w:rPr>
                <w:sz w:val="17"/>
              </w:rPr>
              <w:t>Import into isolated environment using repeatable scripts</w:t>
            </w:r>
          </w:p>
        </w:tc>
        <w:tc>
          <w:tcPr>
            <w:tcW w:type="dxa" w:w="2808"/>
            <w:vAlign w:val="top"/>
          </w:tcPr>
          <w:p>
            <w:r>
              <w:rPr>
                <w:sz w:val="17"/>
              </w:rPr>
              <w:t>Counts, errors, performance and rollback result</w:t>
            </w:r>
          </w:p>
        </w:tc>
      </w:tr>
      <w:tr>
        <w:tc>
          <w:tcPr>
            <w:tcW w:type="dxa" w:w="1728"/>
            <w:vAlign w:val="top"/>
          </w:tcPr>
          <w:p>
            <w:r>
              <w:rPr>
                <w:sz w:val="17"/>
              </w:rPr>
              <w:t>Sample verification</w:t>
            </w:r>
          </w:p>
        </w:tc>
        <w:tc>
          <w:tcPr>
            <w:tcW w:type="dxa" w:w="5256"/>
            <w:vAlign w:val="top"/>
          </w:tcPr>
          <w:p>
            <w:r>
              <w:rPr>
                <w:sz w:val="17"/>
              </w:rPr>
              <w:t>Branch/genealogy authorities inspect representative records and edges</w:t>
            </w:r>
          </w:p>
        </w:tc>
        <w:tc>
          <w:tcPr>
            <w:tcW w:type="dxa" w:w="2808"/>
            <w:vAlign w:val="top"/>
          </w:tcPr>
          <w:p>
            <w:r>
              <w:rPr>
                <w:sz w:val="17"/>
              </w:rPr>
              <w:t>Signed sample result</w:t>
            </w:r>
          </w:p>
        </w:tc>
      </w:tr>
      <w:tr>
        <w:tc>
          <w:tcPr>
            <w:tcW w:type="dxa" w:w="1728"/>
            <w:vAlign w:val="top"/>
          </w:tcPr>
          <w:p>
            <w:r>
              <w:rPr>
                <w:sz w:val="17"/>
              </w:rPr>
              <w:t>Reconciliation</w:t>
            </w:r>
          </w:p>
        </w:tc>
        <w:tc>
          <w:tcPr>
            <w:tcW w:type="dxa" w:w="5256"/>
            <w:vAlign w:val="top"/>
          </w:tcPr>
          <w:p>
            <w:r>
              <w:rPr>
                <w:sz w:val="17"/>
              </w:rPr>
              <w:t>Compare source, staged and target totals plus relationship integrity</w:t>
            </w:r>
          </w:p>
        </w:tc>
        <w:tc>
          <w:tcPr>
            <w:tcW w:type="dxa" w:w="2808"/>
            <w:vAlign w:val="top"/>
          </w:tcPr>
          <w:p>
            <w:r>
              <w:rPr>
                <w:sz w:val="17"/>
              </w:rPr>
              <w:t>Reconciliation report</w:t>
            </w:r>
          </w:p>
        </w:tc>
      </w:tr>
      <w:tr>
        <w:tc>
          <w:tcPr>
            <w:tcW w:type="dxa" w:w="1728"/>
            <w:vAlign w:val="top"/>
          </w:tcPr>
          <w:p>
            <w:r>
              <w:rPr>
                <w:sz w:val="17"/>
              </w:rPr>
              <w:t>Production import</w:t>
            </w:r>
          </w:p>
        </w:tc>
        <w:tc>
          <w:tcPr>
            <w:tcW w:type="dxa" w:w="5256"/>
            <w:vAlign w:val="top"/>
          </w:tcPr>
          <w:p>
            <w:r>
              <w:rPr>
                <w:sz w:val="17"/>
              </w:rPr>
              <w:t>Approved window, backup, controlled batch, monitoring and halt thresholds</w:t>
            </w:r>
          </w:p>
        </w:tc>
        <w:tc>
          <w:tcPr>
            <w:tcW w:type="dxa" w:w="2808"/>
            <w:vAlign w:val="top"/>
          </w:tcPr>
          <w:p>
            <w:r>
              <w:rPr>
                <w:sz w:val="17"/>
              </w:rPr>
              <w:t>Batch evidence and audit</w:t>
            </w:r>
          </w:p>
        </w:tc>
      </w:tr>
      <w:tr>
        <w:tc>
          <w:tcPr>
            <w:tcW w:type="dxa" w:w="1728"/>
            <w:vAlign w:val="top"/>
          </w:tcPr>
          <w:p>
            <w:r>
              <w:rPr>
                <w:sz w:val="17"/>
              </w:rPr>
              <w:t>Post-import</w:t>
            </w:r>
          </w:p>
        </w:tc>
        <w:tc>
          <w:tcPr>
            <w:tcW w:type="dxa" w:w="5256"/>
            <w:vAlign w:val="top"/>
          </w:tcPr>
          <w:p>
            <w:r>
              <w:rPr>
                <w:sz w:val="17"/>
              </w:rPr>
              <w:t>User/authority correction workflow, metrics and unresolved queue</w:t>
            </w:r>
          </w:p>
        </w:tc>
        <w:tc>
          <w:tcPr>
            <w:tcW w:type="dxa" w:w="2808"/>
            <w:vAlign w:val="top"/>
          </w:tcPr>
          <w:p>
            <w:r>
              <w:rPr>
                <w:sz w:val="17"/>
              </w:rPr>
              <w:t>Closure/remaining exceptions</w:t>
            </w:r>
          </w:p>
        </w:tc>
      </w:tr>
    </w:tbl>
    <w:p>
      <w:pPr>
        <w:pStyle w:val="Heading1"/>
      </w:pPr>
      <w:r>
        <w:t>23. Migration acceptance thresholds</w:t>
      </w:r>
    </w:p>
    <w:p>
      <w:pPr>
        <w:pStyle w:val="ListBullet"/>
      </w:pPr>
      <w:r>
        <w:t>100% of imported records receive immutable source and target identifiers.</w:t>
      </w:r>
    </w:p>
    <w:p>
      <w:pPr>
        <w:pStyle w:val="ListBullet"/>
      </w:pPr>
      <w:r>
        <w:t>100% of relationships pass structural validation or enter an explicit exception state.</w:t>
      </w:r>
    </w:p>
    <w:p>
      <w:pPr>
        <w:pStyle w:val="ListBullet"/>
      </w:pPr>
      <w:r>
        <w:t>No critical unresolved cycle or destructive overwrite is accepted.</w:t>
      </w:r>
    </w:p>
    <w:p>
      <w:pPr>
        <w:pStyle w:val="ListBullet"/>
      </w:pPr>
      <w:r>
        <w:t>Source-to-target counts reconcile within documented, approved exceptions.</w:t>
      </w:r>
    </w:p>
    <w:p>
      <w:pPr>
        <w:pStyle w:val="ListBullet"/>
      </w:pPr>
      <w:r>
        <w:t>Sample accuracy and duplicate thresholds meet Master Specification targets.</w:t>
      </w:r>
    </w:p>
    <w:p>
      <w:pPr>
        <w:pStyle w:val="ListBullet"/>
      </w:pPr>
      <w:r>
        <w:t>Rollback or forward-fix procedure is rehearsed before production import.</w:t>
      </w:r>
    </w:p>
    <w:p>
      <w:pPr>
        <w:pStyle w:val="Heading1"/>
      </w:pPr>
      <w:r>
        <w:t>24. Test strategy and ownership</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728"/>
            <w:shd w:fill="704214"/>
            <w:vAlign w:val="center"/>
          </w:tcPr>
          <w:p>
            <w:r>
              <w:rPr>
                <w:b/>
                <w:color w:val="FFFFFF"/>
                <w:sz w:val="17"/>
              </w:rPr>
              <w:t>Test layer</w:t>
            </w:r>
          </w:p>
        </w:tc>
        <w:tc>
          <w:tcPr>
            <w:tcW w:type="dxa" w:w="2088"/>
            <w:shd w:fill="704214"/>
            <w:vAlign w:val="center"/>
          </w:tcPr>
          <w:p>
            <w:r>
              <w:rPr>
                <w:b/>
                <w:color w:val="FFFFFF"/>
                <w:sz w:val="17"/>
              </w:rPr>
              <w:t>Owner</w:t>
            </w:r>
          </w:p>
        </w:tc>
        <w:tc>
          <w:tcPr>
            <w:tcW w:type="dxa" w:w="4824"/>
            <w:shd w:fill="704214"/>
            <w:vAlign w:val="center"/>
          </w:tcPr>
          <w:p>
            <w:r>
              <w:rPr>
                <w:b/>
                <w:color w:val="FFFFFF"/>
                <w:sz w:val="17"/>
              </w:rPr>
              <w:t>Coverage</w:t>
            </w:r>
          </w:p>
        </w:tc>
        <w:tc>
          <w:tcPr>
            <w:tcW w:type="dxa" w:w="1728"/>
            <w:shd w:fill="704214"/>
            <w:vAlign w:val="center"/>
          </w:tcPr>
          <w:p>
            <w:r>
              <w:rPr>
                <w:b/>
                <w:color w:val="FFFFFF"/>
                <w:sz w:val="17"/>
              </w:rPr>
              <w:t>Minimum cadence</w:t>
            </w:r>
          </w:p>
        </w:tc>
      </w:tr>
      <w:tr>
        <w:tc>
          <w:tcPr>
            <w:tcW w:type="dxa" w:w="1728"/>
            <w:vAlign w:val="top"/>
          </w:tcPr>
          <w:p>
            <w:r>
              <w:rPr>
                <w:sz w:val="17"/>
              </w:rPr>
              <w:t>Unit</w:t>
            </w:r>
          </w:p>
        </w:tc>
        <w:tc>
          <w:tcPr>
            <w:tcW w:type="dxa" w:w="2088"/>
            <w:vAlign w:val="top"/>
          </w:tcPr>
          <w:p>
            <w:r>
              <w:rPr>
                <w:sz w:val="17"/>
              </w:rPr>
              <w:t>Developers</w:t>
            </w:r>
          </w:p>
        </w:tc>
        <w:tc>
          <w:tcPr>
            <w:tcW w:type="dxa" w:w="4824"/>
            <w:vAlign w:val="top"/>
          </w:tcPr>
          <w:p>
            <w:r>
              <w:rPr>
                <w:sz w:val="17"/>
              </w:rPr>
              <w:t>Rules, validation, transformations and edge cases</w:t>
            </w:r>
          </w:p>
        </w:tc>
        <w:tc>
          <w:tcPr>
            <w:tcW w:type="dxa" w:w="1728"/>
            <w:vAlign w:val="top"/>
          </w:tcPr>
          <w:p>
            <w:r>
              <w:rPr>
                <w:sz w:val="17"/>
              </w:rPr>
              <w:t>Every change</w:t>
            </w:r>
          </w:p>
        </w:tc>
      </w:tr>
      <w:tr>
        <w:tc>
          <w:tcPr>
            <w:tcW w:type="dxa" w:w="1728"/>
            <w:vAlign w:val="top"/>
          </w:tcPr>
          <w:p>
            <w:r>
              <w:rPr>
                <w:sz w:val="17"/>
              </w:rPr>
              <w:t>Component/widget</w:t>
            </w:r>
          </w:p>
        </w:tc>
        <w:tc>
          <w:tcPr>
            <w:tcW w:type="dxa" w:w="2088"/>
            <w:vAlign w:val="top"/>
          </w:tcPr>
          <w:p>
            <w:r>
              <w:rPr>
                <w:sz w:val="17"/>
              </w:rPr>
              <w:t>Mobile/web engineers</w:t>
            </w:r>
          </w:p>
        </w:tc>
        <w:tc>
          <w:tcPr>
            <w:tcW w:type="dxa" w:w="4824"/>
            <w:vAlign w:val="top"/>
          </w:tcPr>
          <w:p>
            <w:r>
              <w:rPr>
                <w:sz w:val="17"/>
              </w:rPr>
              <w:t>UI behaviour, states, accessibility semantics</w:t>
            </w:r>
          </w:p>
        </w:tc>
        <w:tc>
          <w:tcPr>
            <w:tcW w:type="dxa" w:w="1728"/>
            <w:vAlign w:val="top"/>
          </w:tcPr>
          <w:p>
            <w:r>
              <w:rPr>
                <w:sz w:val="17"/>
              </w:rPr>
              <w:t>Every component/change</w:t>
            </w:r>
          </w:p>
        </w:tc>
      </w:tr>
      <w:tr>
        <w:tc>
          <w:tcPr>
            <w:tcW w:type="dxa" w:w="1728"/>
            <w:vAlign w:val="top"/>
          </w:tcPr>
          <w:p>
            <w:r>
              <w:rPr>
                <w:sz w:val="17"/>
              </w:rPr>
              <w:t>API integration</w:t>
            </w:r>
          </w:p>
        </w:tc>
        <w:tc>
          <w:tcPr>
            <w:tcW w:type="dxa" w:w="2088"/>
            <w:vAlign w:val="top"/>
          </w:tcPr>
          <w:p>
            <w:r>
              <w:rPr>
                <w:sz w:val="17"/>
              </w:rPr>
              <w:t>Backend + QA</w:t>
            </w:r>
          </w:p>
        </w:tc>
        <w:tc>
          <w:tcPr>
            <w:tcW w:type="dxa" w:w="4824"/>
            <w:vAlign w:val="top"/>
          </w:tcPr>
          <w:p>
            <w:r>
              <w:rPr>
                <w:sz w:val="17"/>
              </w:rPr>
              <w:t>Database, queues, storage and external adapters</w:t>
            </w:r>
          </w:p>
        </w:tc>
        <w:tc>
          <w:tcPr>
            <w:tcW w:type="dxa" w:w="1728"/>
            <w:vAlign w:val="top"/>
          </w:tcPr>
          <w:p>
            <w:r>
              <w:rPr>
                <w:sz w:val="17"/>
              </w:rPr>
              <w:t>Continuous</w:t>
            </w:r>
          </w:p>
        </w:tc>
      </w:tr>
      <w:tr>
        <w:tc>
          <w:tcPr>
            <w:tcW w:type="dxa" w:w="1728"/>
            <w:vAlign w:val="top"/>
          </w:tcPr>
          <w:p>
            <w:r>
              <w:rPr>
                <w:sz w:val="17"/>
              </w:rPr>
              <w:t>Contract</w:t>
            </w:r>
          </w:p>
        </w:tc>
        <w:tc>
          <w:tcPr>
            <w:tcW w:type="dxa" w:w="2088"/>
            <w:vAlign w:val="top"/>
          </w:tcPr>
          <w:p>
            <w:r>
              <w:rPr>
                <w:sz w:val="17"/>
              </w:rPr>
              <w:t>Service owners</w:t>
            </w:r>
          </w:p>
        </w:tc>
        <w:tc>
          <w:tcPr>
            <w:tcW w:type="dxa" w:w="4824"/>
            <w:vAlign w:val="top"/>
          </w:tcPr>
          <w:p>
            <w:r>
              <w:rPr>
                <w:sz w:val="17"/>
              </w:rPr>
              <w:t>OpenAPI/event/client compatibility</w:t>
            </w:r>
          </w:p>
        </w:tc>
        <w:tc>
          <w:tcPr>
            <w:tcW w:type="dxa" w:w="1728"/>
            <w:vAlign w:val="top"/>
          </w:tcPr>
          <w:p>
            <w:r>
              <w:rPr>
                <w:sz w:val="17"/>
              </w:rPr>
              <w:t>Every contract change</w:t>
            </w:r>
          </w:p>
        </w:tc>
      </w:tr>
      <w:tr>
        <w:tc>
          <w:tcPr>
            <w:tcW w:type="dxa" w:w="1728"/>
            <w:vAlign w:val="top"/>
          </w:tcPr>
          <w:p>
            <w:r>
              <w:rPr>
                <w:sz w:val="17"/>
              </w:rPr>
              <w:t>End-to-end</w:t>
            </w:r>
          </w:p>
        </w:tc>
        <w:tc>
          <w:tcPr>
            <w:tcW w:type="dxa" w:w="2088"/>
            <w:vAlign w:val="top"/>
          </w:tcPr>
          <w:p>
            <w:r>
              <w:rPr>
                <w:sz w:val="17"/>
              </w:rPr>
              <w:t>QA</w:t>
            </w:r>
          </w:p>
        </w:tc>
        <w:tc>
          <w:tcPr>
            <w:tcW w:type="dxa" w:w="4824"/>
            <w:vAlign w:val="top"/>
          </w:tcPr>
          <w:p>
            <w:r>
              <w:rPr>
                <w:sz w:val="17"/>
              </w:rPr>
              <w:t>Critical member/admin journeys and failures</w:t>
            </w:r>
          </w:p>
        </w:tc>
        <w:tc>
          <w:tcPr>
            <w:tcW w:type="dxa" w:w="1728"/>
            <w:vAlign w:val="top"/>
          </w:tcPr>
          <w:p>
            <w:r>
              <w:rPr>
                <w:sz w:val="17"/>
              </w:rPr>
              <w:t>Daily/staging and candidate</w:t>
            </w:r>
          </w:p>
        </w:tc>
      </w:tr>
      <w:tr>
        <w:tc>
          <w:tcPr>
            <w:tcW w:type="dxa" w:w="1728"/>
            <w:vAlign w:val="top"/>
          </w:tcPr>
          <w:p>
            <w:r>
              <w:rPr>
                <w:sz w:val="17"/>
              </w:rPr>
              <w:t>Domain reference</w:t>
            </w:r>
          </w:p>
        </w:tc>
        <w:tc>
          <w:tcPr>
            <w:tcW w:type="dxa" w:w="2088"/>
            <w:vAlign w:val="top"/>
          </w:tcPr>
          <w:p>
            <w:r>
              <w:rPr>
                <w:sz w:val="17"/>
              </w:rPr>
              <w:t>QA + authorities</w:t>
            </w:r>
          </w:p>
        </w:tc>
        <w:tc>
          <w:tcPr>
            <w:tcW w:type="dxa" w:w="4824"/>
            <w:vAlign w:val="top"/>
          </w:tcPr>
          <w:p>
            <w:r>
              <w:rPr>
                <w:sz w:val="17"/>
              </w:rPr>
              <w:t>Genealogy paths and approved cultural examples</w:t>
            </w:r>
          </w:p>
        </w:tc>
        <w:tc>
          <w:tcPr>
            <w:tcW w:type="dxa" w:w="1728"/>
            <w:vAlign w:val="top"/>
          </w:tcPr>
          <w:p>
            <w:r>
              <w:rPr>
                <w:sz w:val="17"/>
              </w:rPr>
              <w:t>Every rule version</w:t>
            </w:r>
          </w:p>
        </w:tc>
      </w:tr>
      <w:tr>
        <w:tc>
          <w:tcPr>
            <w:tcW w:type="dxa" w:w="1728"/>
            <w:vAlign w:val="top"/>
          </w:tcPr>
          <w:p>
            <w:r>
              <w:rPr>
                <w:sz w:val="17"/>
              </w:rPr>
              <w:t>Migration</w:t>
            </w:r>
          </w:p>
        </w:tc>
        <w:tc>
          <w:tcPr>
            <w:tcW w:type="dxa" w:w="2088"/>
            <w:vAlign w:val="top"/>
          </w:tcPr>
          <w:p>
            <w:r>
              <w:rPr>
                <w:sz w:val="17"/>
              </w:rPr>
              <w:t>Data + QA</w:t>
            </w:r>
          </w:p>
        </w:tc>
        <w:tc>
          <w:tcPr>
            <w:tcW w:type="dxa" w:w="4824"/>
            <w:vAlign w:val="top"/>
          </w:tcPr>
          <w:p>
            <w:r>
              <w:rPr>
                <w:sz w:val="17"/>
              </w:rPr>
              <w:t>Mapping, repeatability, volume, exceptions and rollback</w:t>
            </w:r>
          </w:p>
        </w:tc>
        <w:tc>
          <w:tcPr>
            <w:tcW w:type="dxa" w:w="1728"/>
            <w:vAlign w:val="top"/>
          </w:tcPr>
          <w:p>
            <w:r>
              <w:rPr>
                <w:sz w:val="17"/>
              </w:rPr>
              <w:t>Every rehearsal/import</w:t>
            </w:r>
          </w:p>
        </w:tc>
      </w:tr>
      <w:tr>
        <w:tc>
          <w:tcPr>
            <w:tcW w:type="dxa" w:w="1728"/>
            <w:vAlign w:val="top"/>
          </w:tcPr>
          <w:p>
            <w:r>
              <w:rPr>
                <w:sz w:val="17"/>
              </w:rPr>
              <w:t>Security</w:t>
            </w:r>
          </w:p>
        </w:tc>
        <w:tc>
          <w:tcPr>
            <w:tcW w:type="dxa" w:w="2088"/>
            <w:vAlign w:val="top"/>
          </w:tcPr>
          <w:p>
            <w:r>
              <w:rPr>
                <w:sz w:val="17"/>
              </w:rPr>
              <w:t>Security + independent assessor</w:t>
            </w:r>
          </w:p>
        </w:tc>
        <w:tc>
          <w:tcPr>
            <w:tcW w:type="dxa" w:w="4824"/>
            <w:vAlign w:val="top"/>
          </w:tcPr>
          <w:p>
            <w:r>
              <w:rPr>
                <w:sz w:val="17"/>
              </w:rPr>
              <w:t>Threat scenarios, OWASP/mobile/API, privilege and data exposure</w:t>
            </w:r>
          </w:p>
        </w:tc>
        <w:tc>
          <w:tcPr>
            <w:tcW w:type="dxa" w:w="1728"/>
            <w:vAlign w:val="top"/>
          </w:tcPr>
          <w:p>
            <w:r>
              <w:rPr>
                <w:sz w:val="17"/>
              </w:rPr>
              <w:t>Continuous + pre-release</w:t>
            </w:r>
          </w:p>
        </w:tc>
      </w:tr>
      <w:tr>
        <w:tc>
          <w:tcPr>
            <w:tcW w:type="dxa" w:w="1728"/>
            <w:vAlign w:val="top"/>
          </w:tcPr>
          <w:p>
            <w:r>
              <w:rPr>
                <w:sz w:val="17"/>
              </w:rPr>
              <w:t>Performance</w:t>
            </w:r>
          </w:p>
        </w:tc>
        <w:tc>
          <w:tcPr>
            <w:tcW w:type="dxa" w:w="2088"/>
            <w:vAlign w:val="top"/>
          </w:tcPr>
          <w:p>
            <w:r>
              <w:rPr>
                <w:sz w:val="17"/>
              </w:rPr>
              <w:t>Performance engineer</w:t>
            </w:r>
          </w:p>
        </w:tc>
        <w:tc>
          <w:tcPr>
            <w:tcW w:type="dxa" w:w="4824"/>
            <w:vAlign w:val="top"/>
          </w:tcPr>
          <w:p>
            <w:r>
              <w:rPr>
                <w:sz w:val="17"/>
              </w:rPr>
              <w:t>Normal, peak, burst, soak and recovery targets</w:t>
            </w:r>
          </w:p>
        </w:tc>
        <w:tc>
          <w:tcPr>
            <w:tcW w:type="dxa" w:w="1728"/>
            <w:vAlign w:val="top"/>
          </w:tcPr>
          <w:p>
            <w:r>
              <w:rPr>
                <w:sz w:val="17"/>
              </w:rPr>
              <w:t>Before G5 and major change</w:t>
            </w:r>
          </w:p>
        </w:tc>
      </w:tr>
      <w:tr>
        <w:tc>
          <w:tcPr>
            <w:tcW w:type="dxa" w:w="1728"/>
            <w:vAlign w:val="top"/>
          </w:tcPr>
          <w:p>
            <w:r>
              <w:rPr>
                <w:sz w:val="17"/>
              </w:rPr>
              <w:t>Accessibility/localization</w:t>
            </w:r>
          </w:p>
        </w:tc>
        <w:tc>
          <w:tcPr>
            <w:tcW w:type="dxa" w:w="2088"/>
            <w:vAlign w:val="top"/>
          </w:tcPr>
          <w:p>
            <w:r>
              <w:rPr>
                <w:sz w:val="17"/>
              </w:rPr>
              <w:t>QA + language reviewers</w:t>
            </w:r>
          </w:p>
        </w:tc>
        <w:tc>
          <w:tcPr>
            <w:tcW w:type="dxa" w:w="4824"/>
            <w:vAlign w:val="top"/>
          </w:tcPr>
          <w:p>
            <w:r>
              <w:rPr>
                <w:sz w:val="17"/>
              </w:rPr>
              <w:t>WCAG-targeted flows, Nepali/English, layouts and date/number formats</w:t>
            </w:r>
          </w:p>
        </w:tc>
        <w:tc>
          <w:tcPr>
            <w:tcW w:type="dxa" w:w="1728"/>
            <w:vAlign w:val="top"/>
          </w:tcPr>
          <w:p>
            <w:r>
              <w:rPr>
                <w:sz w:val="17"/>
              </w:rPr>
              <w:t>Each epic and candidate</w:t>
            </w:r>
          </w:p>
        </w:tc>
      </w:tr>
      <w:tr>
        <w:tc>
          <w:tcPr>
            <w:tcW w:type="dxa" w:w="1728"/>
            <w:vAlign w:val="top"/>
          </w:tcPr>
          <w:p>
            <w:r>
              <w:rPr>
                <w:sz w:val="17"/>
              </w:rPr>
              <w:t>Resilience/DR</w:t>
            </w:r>
          </w:p>
        </w:tc>
        <w:tc>
          <w:tcPr>
            <w:tcW w:type="dxa" w:w="2088"/>
            <w:vAlign w:val="top"/>
          </w:tcPr>
          <w:p>
            <w:r>
              <w:rPr>
                <w:sz w:val="17"/>
              </w:rPr>
              <w:t>Platform + QA</w:t>
            </w:r>
          </w:p>
        </w:tc>
        <w:tc>
          <w:tcPr>
            <w:tcW w:type="dxa" w:w="4824"/>
            <w:vAlign w:val="top"/>
          </w:tcPr>
          <w:p>
            <w:r>
              <w:rPr>
                <w:sz w:val="17"/>
              </w:rPr>
              <w:t>Dependency failure, retry, backup restore, failover and recovery</w:t>
            </w:r>
          </w:p>
        </w:tc>
        <w:tc>
          <w:tcPr>
            <w:tcW w:type="dxa" w:w="1728"/>
            <w:vAlign w:val="top"/>
          </w:tcPr>
          <w:p>
            <w:r>
              <w:rPr>
                <w:sz w:val="17"/>
              </w:rPr>
              <w:t>Before G6; scheduled after launch</w:t>
            </w:r>
          </w:p>
        </w:tc>
      </w:tr>
      <w:tr>
        <w:tc>
          <w:tcPr>
            <w:tcW w:type="dxa" w:w="1728"/>
            <w:vAlign w:val="top"/>
          </w:tcPr>
          <w:p>
            <w:r>
              <w:rPr>
                <w:sz w:val="17"/>
              </w:rPr>
              <w:t>UAT</w:t>
            </w:r>
          </w:p>
        </w:tc>
        <w:tc>
          <w:tcPr>
            <w:tcW w:type="dxa" w:w="2088"/>
            <w:vAlign w:val="top"/>
          </w:tcPr>
          <w:p>
            <w:r>
              <w:rPr>
                <w:sz w:val="17"/>
              </w:rPr>
              <w:t>Business/domain representatives</w:t>
            </w:r>
          </w:p>
        </w:tc>
        <w:tc>
          <w:tcPr>
            <w:tcW w:type="dxa" w:w="4824"/>
            <w:vAlign w:val="top"/>
          </w:tcPr>
          <w:p>
            <w:r>
              <w:rPr>
                <w:sz w:val="17"/>
              </w:rPr>
              <w:t>Realistic approved scenarios and acceptance criteria</w:t>
            </w:r>
          </w:p>
        </w:tc>
        <w:tc>
          <w:tcPr>
            <w:tcW w:type="dxa" w:w="1728"/>
            <w:vAlign w:val="top"/>
          </w:tcPr>
          <w:p>
            <w:r>
              <w:rPr>
                <w:sz w:val="17"/>
              </w:rPr>
              <w:t>Before G6</w:t>
            </w:r>
          </w:p>
        </w:tc>
      </w:tr>
    </w:tbl>
    <w:p>
      <w:pPr>
        <w:pStyle w:val="Heading1"/>
      </w:pPr>
      <w:r>
        <w:t>25. Critical acceptance journeys</w:t>
      </w:r>
    </w:p>
    <w:p>
      <w:pPr>
        <w:pStyle w:val="ListBullet"/>
      </w:pPr>
      <w:r>
        <w:t>Register by phone, manage session and complete verified profile.</w:t>
      </w:r>
    </w:p>
    <w:p>
      <w:pPr>
        <w:pStyle w:val="ListBullet"/>
      </w:pPr>
      <w:r>
        <w:t>Claim an existing Person safely without creating a duplicate.</w:t>
      </w:r>
    </w:p>
    <w:p>
      <w:pPr>
        <w:pStyle w:val="ListBullet"/>
      </w:pPr>
      <w:r>
        <w:t>Propose new person/relationship, attach evidence, route review and audit decision.</w:t>
      </w:r>
    </w:p>
    <w:p>
      <w:pPr>
        <w:pStyle w:val="ListBullet"/>
      </w:pPr>
      <w:r>
        <w:t>Search and navigate large trees with privacy and branch scope enforced.</w:t>
      </w:r>
    </w:p>
    <w:p>
      <w:pPr>
        <w:pStyle w:val="ListBullet"/>
      </w:pPr>
      <w:r>
        <w:t>Calculate Nata/Saino across approved direct, collateral, marital and alternative paths.</w:t>
      </w:r>
    </w:p>
    <w:p>
      <w:pPr>
        <w:pStyle w:val="ListBullet"/>
      </w:pPr>
      <w:r>
        <w:t>Handle a death record and rule-gated Jutho/Tithi/Shraddha outputs without inventing authority.</w:t>
      </w:r>
    </w:p>
    <w:p>
      <w:pPr>
        <w:pStyle w:val="ListBullet"/>
      </w:pPr>
      <w:r>
        <w:t>Create event/invitation, calculate audience, deliver notification, RSVP and group communication.</w:t>
      </w:r>
    </w:p>
    <w:p>
      <w:pPr>
        <w:pStyle w:val="ListBullet"/>
      </w:pPr>
      <w:r>
        <w:t>Publish/report/moderate a community post with evidence and appeal trail.</w:t>
      </w:r>
    </w:p>
    <w:p>
      <w:pPr>
        <w:pStyle w:val="ListBullet"/>
      </w:pPr>
      <w:r>
        <w:t>Use household map with approximate location and consent controls.</w:t>
      </w:r>
    </w:p>
    <w:p>
      <w:pPr>
        <w:pStyle w:val="ListBullet"/>
      </w:pPr>
      <w:r>
        <w:t>Import, reconcile, detect duplicates, stop/rollback and resume safely.</w:t>
      </w:r>
    </w:p>
    <w:p>
      <w:pPr>
        <w:pStyle w:val="ListBullet"/>
      </w:pPr>
      <w:r>
        <w:t>Exercise access/deletion/correction and minor/guardian workflows.</w:t>
      </w:r>
    </w:p>
    <w:p>
      <w:pPr>
        <w:pStyle w:val="Heading1"/>
      </w:pPr>
      <w:r>
        <w:t>26. Defect severity and exit policy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440"/>
            <w:shd w:fill="704214"/>
            <w:vAlign w:val="center"/>
          </w:tcPr>
          <w:p>
            <w:r>
              <w:rPr>
                <w:b/>
                <w:color w:val="FFFFFF"/>
                <w:sz w:val="17"/>
              </w:rPr>
              <w:t>Severity</w:t>
            </w:r>
          </w:p>
        </w:tc>
        <w:tc>
          <w:tcPr>
            <w:tcW w:type="dxa" w:w="6120"/>
            <w:shd w:fill="704214"/>
            <w:vAlign w:val="center"/>
          </w:tcPr>
          <w:p>
            <w:r>
              <w:rPr>
                <w:b/>
                <w:color w:val="FFFFFF"/>
                <w:sz w:val="17"/>
              </w:rPr>
              <w:t>Definition</w:t>
            </w:r>
          </w:p>
        </w:tc>
        <w:tc>
          <w:tcPr>
            <w:tcW w:type="dxa" w:w="2232"/>
            <w:shd w:fill="704214"/>
            <w:vAlign w:val="center"/>
          </w:tcPr>
          <w:p>
            <w:r>
              <w:rPr>
                <w:b/>
                <w:color w:val="FFFFFF"/>
                <w:sz w:val="17"/>
              </w:rPr>
              <w:t>Release rule</w:t>
            </w:r>
          </w:p>
        </w:tc>
      </w:tr>
      <w:tr>
        <w:tc>
          <w:tcPr>
            <w:tcW w:type="dxa" w:w="1440"/>
            <w:vAlign w:val="top"/>
          </w:tcPr>
          <w:p>
            <w:r>
              <w:rPr>
                <w:sz w:val="17"/>
              </w:rPr>
              <w:t>Blocker</w:t>
            </w:r>
          </w:p>
        </w:tc>
        <w:tc>
          <w:tcPr>
            <w:tcW w:type="dxa" w:w="6120"/>
            <w:vAlign w:val="top"/>
          </w:tcPr>
          <w:p>
            <w:r>
              <w:rPr>
                <w:sz w:val="17"/>
              </w:rPr>
              <w:t>Prevents essential testing/use, data corruption, security/privacy exposure or no safe workaround</w:t>
            </w:r>
          </w:p>
        </w:tc>
        <w:tc>
          <w:tcPr>
            <w:tcW w:type="dxa" w:w="2232"/>
            <w:vAlign w:val="top"/>
          </w:tcPr>
          <w:p>
            <w:r>
              <w:rPr>
                <w:sz w:val="17"/>
              </w:rPr>
              <w:t>Zero open</w:t>
            </w:r>
          </w:p>
        </w:tc>
      </w:tr>
      <w:tr>
        <w:tc>
          <w:tcPr>
            <w:tcW w:type="dxa" w:w="1440"/>
            <w:vAlign w:val="top"/>
          </w:tcPr>
          <w:p>
            <w:r>
              <w:rPr>
                <w:sz w:val="17"/>
              </w:rPr>
              <w:t>Critical</w:t>
            </w:r>
          </w:p>
        </w:tc>
        <w:tc>
          <w:tcPr>
            <w:tcW w:type="dxa" w:w="6120"/>
            <w:vAlign w:val="top"/>
          </w:tcPr>
          <w:p>
            <w:r>
              <w:rPr>
                <w:sz w:val="17"/>
              </w:rPr>
              <w:t>Major business/security/data failure affecting many users or authoritative decisions</w:t>
            </w:r>
          </w:p>
        </w:tc>
        <w:tc>
          <w:tcPr>
            <w:tcW w:type="dxa" w:w="2232"/>
            <w:vAlign w:val="top"/>
          </w:tcPr>
          <w:p>
            <w:r>
              <w:rPr>
                <w:sz w:val="17"/>
              </w:rPr>
              <w:t>Zero open</w:t>
            </w:r>
          </w:p>
        </w:tc>
      </w:tr>
      <w:tr>
        <w:tc>
          <w:tcPr>
            <w:tcW w:type="dxa" w:w="1440"/>
            <w:vAlign w:val="top"/>
          </w:tcPr>
          <w:p>
            <w:r>
              <w:rPr>
                <w:sz w:val="17"/>
              </w:rPr>
              <w:t>High</w:t>
            </w:r>
          </w:p>
        </w:tc>
        <w:tc>
          <w:tcPr>
            <w:tcW w:type="dxa" w:w="6120"/>
            <w:vAlign w:val="top"/>
          </w:tcPr>
          <w:p>
            <w:r>
              <w:rPr>
                <w:sz w:val="17"/>
              </w:rPr>
              <w:t>Material feature failure or unreliable workaround</w:t>
            </w:r>
          </w:p>
        </w:tc>
        <w:tc>
          <w:tcPr>
            <w:tcW w:type="dxa" w:w="2232"/>
            <w:vAlign w:val="top"/>
          </w:tcPr>
          <w:p>
            <w:r>
              <w:rPr>
                <w:sz w:val="17"/>
              </w:rPr>
              <w:t>Zero open unless Jyphra accepts documented exceptional risk</w:t>
            </w:r>
          </w:p>
        </w:tc>
      </w:tr>
      <w:tr>
        <w:tc>
          <w:tcPr>
            <w:tcW w:type="dxa" w:w="1440"/>
            <w:vAlign w:val="top"/>
          </w:tcPr>
          <w:p>
            <w:r>
              <w:rPr>
                <w:sz w:val="17"/>
              </w:rPr>
              <w:t>Medium</w:t>
            </w:r>
          </w:p>
        </w:tc>
        <w:tc>
          <w:tcPr>
            <w:tcW w:type="dxa" w:w="6120"/>
            <w:vAlign w:val="top"/>
          </w:tcPr>
          <w:p>
            <w:r>
              <w:rPr>
                <w:sz w:val="17"/>
              </w:rPr>
              <w:t>Limited impact with practical workaround</w:t>
            </w:r>
          </w:p>
        </w:tc>
        <w:tc>
          <w:tcPr>
            <w:tcW w:type="dxa" w:w="2232"/>
            <w:vAlign w:val="top"/>
          </w:tcPr>
          <w:p>
            <w:r>
              <w:rPr>
                <w:sz w:val="17"/>
              </w:rPr>
              <w:t>Bounded by approved threshold and owner/date</w:t>
            </w:r>
          </w:p>
        </w:tc>
      </w:tr>
      <w:tr>
        <w:tc>
          <w:tcPr>
            <w:tcW w:type="dxa" w:w="1440"/>
            <w:vAlign w:val="top"/>
          </w:tcPr>
          <w:p>
            <w:r>
              <w:rPr>
                <w:sz w:val="17"/>
              </w:rPr>
              <w:t>Low</w:t>
            </w:r>
          </w:p>
        </w:tc>
        <w:tc>
          <w:tcPr>
            <w:tcW w:type="dxa" w:w="6120"/>
            <w:vAlign w:val="top"/>
          </w:tcPr>
          <w:p>
            <w:r>
              <w:rPr>
                <w:sz w:val="17"/>
              </w:rPr>
              <w:t>Cosmetic/minor usability issue</w:t>
            </w:r>
          </w:p>
        </w:tc>
        <w:tc>
          <w:tcPr>
            <w:tcW w:type="dxa" w:w="2232"/>
            <w:vAlign w:val="top"/>
          </w:tcPr>
          <w:p>
            <w:r>
              <w:rPr>
                <w:sz w:val="17"/>
              </w:rPr>
              <w:t>May defer only through backlog and acceptance</w:t>
            </w:r>
          </w:p>
        </w:tc>
      </w:tr>
    </w:tbl>
    <w:p>
      <w:pPr>
        <w:pStyle w:val="Heading1"/>
      </w:pPr>
      <w:r>
        <w:t>27. Performance, reliability and capacity verification</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1800"/>
            <w:shd w:fill="704214"/>
            <w:vAlign w:val="center"/>
          </w:tcPr>
          <w:p>
            <w:r>
              <w:rPr>
                <w:b/>
                <w:color w:val="FFFFFF"/>
                <w:sz w:val="17"/>
              </w:rPr>
              <w:t>Area</w:t>
            </w:r>
          </w:p>
        </w:tc>
        <w:tc>
          <w:tcPr>
            <w:tcW w:type="dxa" w:w="7992"/>
            <w:shd w:fill="704214"/>
            <w:vAlign w:val="center"/>
          </w:tcPr>
          <w:p>
            <w:r>
              <w:rPr>
                <w:b/>
                <w:color w:val="FFFFFF"/>
                <w:sz w:val="17"/>
              </w:rPr>
              <w:t>Baseline test obligation</w:t>
            </w:r>
          </w:p>
        </w:tc>
      </w:tr>
      <w:tr>
        <w:tc>
          <w:tcPr>
            <w:tcW w:type="dxa" w:w="1800"/>
            <w:vAlign w:val="top"/>
          </w:tcPr>
          <w:p>
            <w:r>
              <w:rPr>
                <w:sz w:val="17"/>
              </w:rPr>
              <w:t>Users</w:t>
            </w:r>
          </w:p>
        </w:tc>
        <w:tc>
          <w:tcPr>
            <w:tcW w:type="dxa" w:w="7992"/>
            <w:vAlign w:val="top"/>
          </w:tcPr>
          <w:p>
            <w:r>
              <w:rPr>
                <w:sz w:val="17"/>
              </w:rPr>
              <w:t>Model 100,000 registered, 20,000 MAU, 5,000 DAU and 1,000 normal-peak concurrent users</w:t>
            </w:r>
          </w:p>
        </w:tc>
      </w:tr>
      <w:tr>
        <w:tc>
          <w:tcPr>
            <w:tcW w:type="dxa" w:w="1800"/>
            <w:vAlign w:val="top"/>
          </w:tcPr>
          <w:p>
            <w:r>
              <w:rPr>
                <w:sz w:val="17"/>
              </w:rPr>
              <w:t>Burst</w:t>
            </w:r>
          </w:p>
        </w:tc>
        <w:tc>
          <w:tcPr>
            <w:tcW w:type="dxa" w:w="7992"/>
            <w:vAlign w:val="top"/>
          </w:tcPr>
          <w:p>
            <w:r>
              <w:rPr>
                <w:sz w:val="17"/>
              </w:rPr>
              <w:t>Exercise at least 3x normal peak for announcement/event scenarios where architecture permits</w:t>
            </w:r>
          </w:p>
        </w:tc>
      </w:tr>
      <w:tr>
        <w:tc>
          <w:tcPr>
            <w:tcW w:type="dxa" w:w="1800"/>
            <w:vAlign w:val="top"/>
          </w:tcPr>
          <w:p>
            <w:r>
              <w:rPr>
                <w:sz w:val="17"/>
              </w:rPr>
              <w:t>Latency</w:t>
            </w:r>
          </w:p>
        </w:tc>
        <w:tc>
          <w:tcPr>
            <w:tcW w:type="dxa" w:w="7992"/>
            <w:vAlign w:val="top"/>
          </w:tcPr>
          <w:p>
            <w:r>
              <w:rPr>
                <w:sz w:val="17"/>
              </w:rPr>
              <w:t>Validate Master Specification percentile targets for authentication, search, tree navigation, messaging and admin queues</w:t>
            </w:r>
          </w:p>
        </w:tc>
      </w:tr>
      <w:tr>
        <w:tc>
          <w:tcPr>
            <w:tcW w:type="dxa" w:w="1800"/>
            <w:vAlign w:val="top"/>
          </w:tcPr>
          <w:p>
            <w:r>
              <w:rPr>
                <w:sz w:val="17"/>
              </w:rPr>
              <w:t>Soak</w:t>
            </w:r>
          </w:p>
        </w:tc>
        <w:tc>
          <w:tcPr>
            <w:tcW w:type="dxa" w:w="7992"/>
            <w:vAlign w:val="top"/>
          </w:tcPr>
          <w:p>
            <w:r>
              <w:rPr>
                <w:sz w:val="17"/>
              </w:rPr>
              <w:t>Sustained workload sufficient to reveal leaks, queue growth, connection exhaustion and storage/log pressure</w:t>
            </w:r>
          </w:p>
        </w:tc>
      </w:tr>
      <w:tr>
        <w:tc>
          <w:tcPr>
            <w:tcW w:type="dxa" w:w="1800"/>
            <w:vAlign w:val="top"/>
          </w:tcPr>
          <w:p>
            <w:r>
              <w:rPr>
                <w:sz w:val="17"/>
              </w:rPr>
              <w:t>Data volume</w:t>
            </w:r>
          </w:p>
        </w:tc>
        <w:tc>
          <w:tcPr>
            <w:tcW w:type="dxa" w:w="7992"/>
            <w:vAlign w:val="top"/>
          </w:tcPr>
          <w:p>
            <w:r>
              <w:rPr>
                <w:sz w:val="17"/>
              </w:rPr>
              <w:t>Representative genealogy nodes/edges, messages, posts, notifications and media metadata</w:t>
            </w:r>
          </w:p>
        </w:tc>
      </w:tr>
      <w:tr>
        <w:tc>
          <w:tcPr>
            <w:tcW w:type="dxa" w:w="1800"/>
            <w:vAlign w:val="top"/>
          </w:tcPr>
          <w:p>
            <w:r>
              <w:rPr>
                <w:sz w:val="17"/>
              </w:rPr>
              <w:t>Failure</w:t>
            </w:r>
          </w:p>
        </w:tc>
        <w:tc>
          <w:tcPr>
            <w:tcW w:type="dxa" w:w="7992"/>
            <w:vAlign w:val="top"/>
          </w:tcPr>
          <w:p>
            <w:r>
              <w:rPr>
                <w:sz w:val="17"/>
              </w:rPr>
              <w:t>Degraded external SMS/push/maps/storage, delayed jobs and partial dependency loss</w:t>
            </w:r>
          </w:p>
        </w:tc>
      </w:tr>
      <w:tr>
        <w:tc>
          <w:tcPr>
            <w:tcW w:type="dxa" w:w="1800"/>
            <w:vAlign w:val="top"/>
          </w:tcPr>
          <w:p>
            <w:r>
              <w:rPr>
                <w:sz w:val="17"/>
              </w:rPr>
              <w:t>Recovery</w:t>
            </w:r>
          </w:p>
        </w:tc>
        <w:tc>
          <w:tcPr>
            <w:tcW w:type="dxa" w:w="7992"/>
            <w:vAlign w:val="top"/>
          </w:tcPr>
          <w:p>
            <w:r>
              <w:rPr>
                <w:sz w:val="17"/>
              </w:rPr>
              <w:t>Backup restore, service restart, queue replay/dead-letter handling and database recovery</w:t>
            </w:r>
          </w:p>
        </w:tc>
      </w:tr>
      <w:tr>
        <w:tc>
          <w:tcPr>
            <w:tcW w:type="dxa" w:w="1800"/>
            <w:vAlign w:val="top"/>
          </w:tcPr>
          <w:p>
            <w:r>
              <w:rPr>
                <w:sz w:val="17"/>
              </w:rPr>
              <w:t>Cost</w:t>
            </w:r>
          </w:p>
        </w:tc>
        <w:tc>
          <w:tcPr>
            <w:tcW w:type="dxa" w:w="7992"/>
            <w:vAlign w:val="top"/>
          </w:tcPr>
          <w:p>
            <w:r>
              <w:rPr>
                <w:sz w:val="17"/>
              </w:rPr>
              <w:t>Capture unit-cost indicators and autoscaling behaviour; prevent runaway OTP/media/resource use</w:t>
            </w:r>
          </w:p>
        </w:tc>
      </w:tr>
    </w:tbl>
    <w:p>
      <w:pPr>
        <w:pStyle w:val="Heading1"/>
      </w:pPr>
      <w:r>
        <w:t>28. Observability and operational readiness</w:t>
      </w:r>
    </w:p>
    <w:p>
      <w:pPr>
        <w:pStyle w:val="ListBullet"/>
      </w:pPr>
      <w:r>
        <w:t>Structured logs use correlation IDs and exclude OTPs, tokens, message bodies and unnecessary personal data.</w:t>
      </w:r>
    </w:p>
    <w:p>
      <w:pPr>
        <w:pStyle w:val="ListBullet"/>
      </w:pPr>
      <w:r>
        <w:t>Metrics cover traffic, latency, errors, saturation, queue lag, database health, notification delivery, moderation/verification backlogs and cost drivers.</w:t>
      </w:r>
    </w:p>
    <w:p>
      <w:pPr>
        <w:pStyle w:val="ListBullet"/>
      </w:pPr>
      <w:r>
        <w:t>Distributed traces connect client/API/background work for critical journeys.</w:t>
      </w:r>
    </w:p>
    <w:p>
      <w:pPr>
        <w:pStyle w:val="ListBullet"/>
      </w:pPr>
      <w:r>
        <w:t>Alerts are actionable, severity-classified, owned and tested; every alert links to a runbook.</w:t>
      </w:r>
    </w:p>
    <w:p>
      <w:pPr>
        <w:pStyle w:val="ListBullet"/>
      </w:pPr>
      <w:r>
        <w:t>Dashboards separate service health, security/privacy signals, business workflows and vendor usage/cost.</w:t>
      </w:r>
    </w:p>
    <w:p>
      <w:pPr>
        <w:pStyle w:val="ListBullet"/>
      </w:pPr>
      <w:r>
        <w:t>Synthetic checks exercise authentication, search, tree, notifications and admin availability.</w:t>
      </w:r>
    </w:p>
    <w:p>
      <w:pPr>
        <w:pStyle w:val="Heading1"/>
      </w:pPr>
      <w:r>
        <w:t>29. Backup, recovery and disaster recovery</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1944"/>
            <w:shd w:fill="704214"/>
            <w:vAlign w:val="center"/>
          </w:tcPr>
          <w:p>
            <w:r>
              <w:rPr>
                <w:b/>
                <w:color w:val="FFFFFF"/>
                <w:sz w:val="17"/>
              </w:rPr>
              <w:t>Control</w:t>
            </w:r>
          </w:p>
        </w:tc>
        <w:tc>
          <w:tcPr>
            <w:tcW w:type="dxa" w:w="7848"/>
            <w:shd w:fill="704214"/>
            <w:vAlign w:val="center"/>
          </w:tcPr>
          <w:p>
            <w:r>
              <w:rPr>
                <w:b/>
                <w:color w:val="FFFFFF"/>
                <w:sz w:val="17"/>
              </w:rPr>
              <w:t>Required evidence</w:t>
            </w:r>
          </w:p>
        </w:tc>
      </w:tr>
      <w:tr>
        <w:tc>
          <w:tcPr>
            <w:tcW w:type="dxa" w:w="1944"/>
            <w:vAlign w:val="top"/>
          </w:tcPr>
          <w:p>
            <w:r>
              <w:rPr>
                <w:sz w:val="17"/>
              </w:rPr>
              <w:t>Backup policy</w:t>
            </w:r>
          </w:p>
        </w:tc>
        <w:tc>
          <w:tcPr>
            <w:tcW w:type="dxa" w:w="7848"/>
            <w:vAlign w:val="top"/>
          </w:tcPr>
          <w:p>
            <w:r>
              <w:rPr>
                <w:sz w:val="17"/>
              </w:rPr>
              <w:t>Automated encrypted backups with retention by approved policy and separate failure domain</w:t>
            </w:r>
          </w:p>
        </w:tc>
      </w:tr>
      <w:tr>
        <w:tc>
          <w:tcPr>
            <w:tcW w:type="dxa" w:w="1944"/>
            <w:vAlign w:val="top"/>
          </w:tcPr>
          <w:p>
            <w:r>
              <w:rPr>
                <w:sz w:val="17"/>
              </w:rPr>
              <w:t>RPO/RTO</w:t>
            </w:r>
          </w:p>
        </w:tc>
        <w:tc>
          <w:tcPr>
            <w:tcW w:type="dxa" w:w="7848"/>
            <w:vAlign w:val="top"/>
          </w:tcPr>
          <w:p>
            <w:r>
              <w:rPr>
                <w:sz w:val="17"/>
              </w:rPr>
              <w:t>Tier-specific objectives defined and tested for core data, media, audit and supporting services</w:t>
            </w:r>
          </w:p>
        </w:tc>
      </w:tr>
      <w:tr>
        <w:tc>
          <w:tcPr>
            <w:tcW w:type="dxa" w:w="1944"/>
            <w:vAlign w:val="top"/>
          </w:tcPr>
          <w:p>
            <w:r>
              <w:rPr>
                <w:sz w:val="17"/>
              </w:rPr>
              <w:t>Restore test</w:t>
            </w:r>
          </w:p>
        </w:tc>
        <w:tc>
          <w:tcPr>
            <w:tcW w:type="dxa" w:w="7848"/>
            <w:vAlign w:val="top"/>
          </w:tcPr>
          <w:p>
            <w:r>
              <w:rPr>
                <w:sz w:val="17"/>
              </w:rPr>
              <w:t>At least twice yearly and before launch; records completeness, integrity, duration and issues</w:t>
            </w:r>
          </w:p>
        </w:tc>
      </w:tr>
      <w:tr>
        <w:tc>
          <w:tcPr>
            <w:tcW w:type="dxa" w:w="1944"/>
            <w:vAlign w:val="top"/>
          </w:tcPr>
          <w:p>
            <w:r>
              <w:rPr>
                <w:sz w:val="17"/>
              </w:rPr>
              <w:t>Application recovery</w:t>
            </w:r>
          </w:p>
        </w:tc>
        <w:tc>
          <w:tcPr>
            <w:tcW w:type="dxa" w:w="7848"/>
            <w:vAlign w:val="top"/>
          </w:tcPr>
          <w:p>
            <w:r>
              <w:rPr>
                <w:sz w:val="17"/>
              </w:rPr>
              <w:t>Infrastructure recreation, secret restoration, dependency validation and smoke tests</w:t>
            </w:r>
          </w:p>
        </w:tc>
      </w:tr>
      <w:tr>
        <w:tc>
          <w:tcPr>
            <w:tcW w:type="dxa" w:w="1944"/>
            <w:vAlign w:val="top"/>
          </w:tcPr>
          <w:p>
            <w:r>
              <w:rPr>
                <w:sz w:val="17"/>
              </w:rPr>
              <w:t>Data consistency</w:t>
            </w:r>
          </w:p>
        </w:tc>
        <w:tc>
          <w:tcPr>
            <w:tcW w:type="dxa" w:w="7848"/>
            <w:vAlign w:val="top"/>
          </w:tcPr>
          <w:p>
            <w:r>
              <w:rPr>
                <w:sz w:val="17"/>
              </w:rPr>
              <w:t>Reconcile genealogy, accounts, messages, indexes, storage references and audit after recovery</w:t>
            </w:r>
          </w:p>
        </w:tc>
      </w:tr>
      <w:tr>
        <w:tc>
          <w:tcPr>
            <w:tcW w:type="dxa" w:w="1944"/>
            <w:vAlign w:val="top"/>
          </w:tcPr>
          <w:p>
            <w:r>
              <w:rPr>
                <w:sz w:val="17"/>
              </w:rPr>
              <w:t>DR authority</w:t>
            </w:r>
          </w:p>
        </w:tc>
        <w:tc>
          <w:tcPr>
            <w:tcW w:type="dxa" w:w="7848"/>
            <w:vAlign w:val="top"/>
          </w:tcPr>
          <w:p>
            <w:r>
              <w:rPr>
                <w:sz w:val="17"/>
              </w:rPr>
              <w:t>Incident Commander and authorized technical/security roles; all emergency access audited</w:t>
            </w:r>
          </w:p>
        </w:tc>
      </w:tr>
      <w:tr>
        <w:tc>
          <w:tcPr>
            <w:tcW w:type="dxa" w:w="1944"/>
            <w:vAlign w:val="top"/>
          </w:tcPr>
          <w:p>
            <w:r>
              <w:rPr>
                <w:sz w:val="17"/>
              </w:rPr>
              <w:t>Communication</w:t>
            </w:r>
          </w:p>
        </w:tc>
        <w:tc>
          <w:tcPr>
            <w:tcW w:type="dxa" w:w="7848"/>
            <w:vAlign w:val="top"/>
          </w:tcPr>
          <w:p>
            <w:r>
              <w:rPr>
                <w:sz w:val="17"/>
              </w:rPr>
              <w:t>Internal/external incident communications approved by Jyphra and privacy/legal authority as required</w:t>
            </w:r>
          </w:p>
        </w:tc>
      </w:tr>
    </w:tbl>
    <w:p>
      <w:pPr>
        <w:pStyle w:val="Heading1"/>
      </w:pPr>
      <w:r>
        <w:t>30. Release-candidate evidence bundle</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160"/>
            <w:shd w:fill="704214"/>
            <w:vAlign w:val="center"/>
          </w:tcPr>
          <w:p>
            <w:r>
              <w:rPr>
                <w:b/>
                <w:color w:val="FFFFFF"/>
                <w:sz w:val="17"/>
              </w:rPr>
              <w:t>Evidence group</w:t>
            </w:r>
          </w:p>
        </w:tc>
        <w:tc>
          <w:tcPr>
            <w:tcW w:type="dxa" w:w="7632"/>
            <w:shd w:fill="704214"/>
            <w:vAlign w:val="center"/>
          </w:tcPr>
          <w:p>
            <w:r>
              <w:rPr>
                <w:b/>
                <w:color w:val="FFFFFF"/>
                <w:sz w:val="17"/>
              </w:rPr>
              <w:t>Required contents</w:t>
            </w:r>
          </w:p>
        </w:tc>
      </w:tr>
      <w:tr>
        <w:tc>
          <w:tcPr>
            <w:tcW w:type="dxa" w:w="2160"/>
            <w:vAlign w:val="top"/>
          </w:tcPr>
          <w:p>
            <w:r>
              <w:rPr>
                <w:sz w:val="17"/>
              </w:rPr>
              <w:t>Scope/traceability</w:t>
            </w:r>
          </w:p>
        </w:tc>
        <w:tc>
          <w:tcPr>
            <w:tcW w:type="dxa" w:w="7632"/>
            <w:vAlign w:val="top"/>
          </w:tcPr>
          <w:p>
            <w:r>
              <w:rPr>
                <w:sz w:val="17"/>
              </w:rPr>
              <w:t>Release notes, requirement/story/test links, approved changes and known limitations</w:t>
            </w:r>
          </w:p>
        </w:tc>
      </w:tr>
      <w:tr>
        <w:tc>
          <w:tcPr>
            <w:tcW w:type="dxa" w:w="2160"/>
            <w:vAlign w:val="top"/>
          </w:tcPr>
          <w:p>
            <w:r>
              <w:rPr>
                <w:sz w:val="17"/>
              </w:rPr>
              <w:t>Build/provenance</w:t>
            </w:r>
          </w:p>
        </w:tc>
        <w:tc>
          <w:tcPr>
            <w:tcW w:type="dxa" w:w="7632"/>
            <w:vAlign w:val="top"/>
          </w:tcPr>
          <w:p>
            <w:r>
              <w:rPr>
                <w:sz w:val="17"/>
              </w:rPr>
              <w:t>Commit/tag, pipeline, signed binaries, dependency lock and SBOM</w:t>
            </w:r>
          </w:p>
        </w:tc>
      </w:tr>
      <w:tr>
        <w:tc>
          <w:tcPr>
            <w:tcW w:type="dxa" w:w="2160"/>
            <w:vAlign w:val="top"/>
          </w:tcPr>
          <w:p>
            <w:r>
              <w:rPr>
                <w:sz w:val="17"/>
              </w:rPr>
              <w:t>Quality</w:t>
            </w:r>
          </w:p>
        </w:tc>
        <w:tc>
          <w:tcPr>
            <w:tcW w:type="dxa" w:w="7632"/>
            <w:vAlign w:val="top"/>
          </w:tcPr>
          <w:p>
            <w:r>
              <w:rPr>
                <w:sz w:val="17"/>
              </w:rPr>
              <w:t>Automated results, E2E, device/browser matrix, defect summary and regression statement</w:t>
            </w:r>
          </w:p>
        </w:tc>
      </w:tr>
      <w:tr>
        <w:tc>
          <w:tcPr>
            <w:tcW w:type="dxa" w:w="2160"/>
            <w:vAlign w:val="top"/>
          </w:tcPr>
          <w:p>
            <w:r>
              <w:rPr>
                <w:sz w:val="17"/>
              </w:rPr>
              <w:t>Domain</w:t>
            </w:r>
          </w:p>
        </w:tc>
        <w:tc>
          <w:tcPr>
            <w:tcW w:type="dxa" w:w="7632"/>
            <w:vAlign w:val="top"/>
          </w:tcPr>
          <w:p>
            <w:r>
              <w:rPr>
                <w:sz w:val="17"/>
              </w:rPr>
              <w:t>Genealogy/cultural reference results and active rule/configuration versions</w:t>
            </w:r>
          </w:p>
        </w:tc>
      </w:tr>
      <w:tr>
        <w:tc>
          <w:tcPr>
            <w:tcW w:type="dxa" w:w="2160"/>
            <w:vAlign w:val="top"/>
          </w:tcPr>
          <w:p>
            <w:r>
              <w:rPr>
                <w:sz w:val="17"/>
              </w:rPr>
              <w:t>Security/privacy</w:t>
            </w:r>
          </w:p>
        </w:tc>
        <w:tc>
          <w:tcPr>
            <w:tcW w:type="dxa" w:w="7632"/>
            <w:vAlign w:val="top"/>
          </w:tcPr>
          <w:p>
            <w:r>
              <w:rPr>
                <w:sz w:val="17"/>
              </w:rPr>
              <w:t>Threat model delta, scans, independent findings, DPIA/privacy checklist and residual risk</w:t>
            </w:r>
          </w:p>
        </w:tc>
      </w:tr>
      <w:tr>
        <w:tc>
          <w:tcPr>
            <w:tcW w:type="dxa" w:w="2160"/>
            <w:vAlign w:val="top"/>
          </w:tcPr>
          <w:p>
            <w:r>
              <w:rPr>
                <w:sz w:val="17"/>
              </w:rPr>
              <w:t>Performance/resilience</w:t>
            </w:r>
          </w:p>
        </w:tc>
        <w:tc>
          <w:tcPr>
            <w:tcW w:type="dxa" w:w="7632"/>
            <w:vAlign w:val="top"/>
          </w:tcPr>
          <w:p>
            <w:r>
              <w:rPr>
                <w:sz w:val="17"/>
              </w:rPr>
              <w:t>Load/soak results, capacity conclusion, failure tests and recovery evidence</w:t>
            </w:r>
          </w:p>
        </w:tc>
      </w:tr>
      <w:tr>
        <w:tc>
          <w:tcPr>
            <w:tcW w:type="dxa" w:w="2160"/>
            <w:vAlign w:val="top"/>
          </w:tcPr>
          <w:p>
            <w:r>
              <w:rPr>
                <w:sz w:val="17"/>
              </w:rPr>
              <w:t>Migration</w:t>
            </w:r>
          </w:p>
        </w:tc>
        <w:tc>
          <w:tcPr>
            <w:tcW w:type="dxa" w:w="7632"/>
            <w:vAlign w:val="top"/>
          </w:tcPr>
          <w:p>
            <w:r>
              <w:rPr>
                <w:sz w:val="17"/>
              </w:rPr>
              <w:t>Scripts/version, dry-run evidence, reconciliation, backup and rollback/forward-fix plan</w:t>
            </w:r>
          </w:p>
        </w:tc>
      </w:tr>
      <w:tr>
        <w:tc>
          <w:tcPr>
            <w:tcW w:type="dxa" w:w="2160"/>
            <w:vAlign w:val="top"/>
          </w:tcPr>
          <w:p>
            <w:r>
              <w:rPr>
                <w:sz w:val="17"/>
              </w:rPr>
              <w:t>Operations</w:t>
            </w:r>
          </w:p>
        </w:tc>
        <w:tc>
          <w:tcPr>
            <w:tcW w:type="dxa" w:w="7632"/>
            <w:vAlign w:val="top"/>
          </w:tcPr>
          <w:p>
            <w:r>
              <w:rPr>
                <w:sz w:val="17"/>
              </w:rPr>
              <w:t>Dashboards, alerts, runbooks, support contacts, incident and backup/DR readiness</w:t>
            </w:r>
          </w:p>
        </w:tc>
      </w:tr>
      <w:tr>
        <w:tc>
          <w:tcPr>
            <w:tcW w:type="dxa" w:w="2160"/>
            <w:vAlign w:val="top"/>
          </w:tcPr>
          <w:p>
            <w:r>
              <w:rPr>
                <w:sz w:val="17"/>
              </w:rPr>
              <w:t>Distribution</w:t>
            </w:r>
          </w:p>
        </w:tc>
        <w:tc>
          <w:tcPr>
            <w:tcW w:type="dxa" w:w="7632"/>
            <w:vAlign w:val="top"/>
          </w:tcPr>
          <w:p>
            <w:r>
              <w:rPr>
                <w:sz w:val="17"/>
              </w:rPr>
              <w:t>Store metadata, privacy disclosures, deletion path, signing and approval status</w:t>
            </w:r>
          </w:p>
        </w:tc>
      </w:tr>
      <w:tr>
        <w:tc>
          <w:tcPr>
            <w:tcW w:type="dxa" w:w="2160"/>
            <w:vAlign w:val="top"/>
          </w:tcPr>
          <w:p>
            <w:r>
              <w:rPr>
                <w:sz w:val="17"/>
              </w:rPr>
              <w:t>Approval</w:t>
            </w:r>
          </w:p>
        </w:tc>
        <w:tc>
          <w:tcPr>
            <w:tcW w:type="dxa" w:w="7632"/>
            <w:vAlign w:val="top"/>
          </w:tcPr>
          <w:p>
            <w:r>
              <w:rPr>
                <w:sz w:val="17"/>
              </w:rPr>
              <w:t>Product, QA, Technology, Security/Privacy, domain and Executive go/no-go records</w:t>
            </w:r>
          </w:p>
        </w:tc>
      </w:tr>
    </w:tbl>
    <w:p>
      <w:pPr>
        <w:pStyle w:val="Heading1"/>
      </w:pPr>
      <w:r>
        <w:t>31. Production deployment procedure</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1296"/>
            <w:shd w:fill="704214"/>
            <w:vAlign w:val="center"/>
          </w:tcPr>
          <w:p>
            <w:r>
              <w:rPr>
                <w:b/>
                <w:color w:val="FFFFFF"/>
                <w:sz w:val="17"/>
              </w:rPr>
              <w:t>Step</w:t>
            </w:r>
          </w:p>
        </w:tc>
        <w:tc>
          <w:tcPr>
            <w:tcW w:type="dxa" w:w="8496"/>
            <w:shd w:fill="704214"/>
            <w:vAlign w:val="center"/>
          </w:tcPr>
          <w:p>
            <w:r>
              <w:rPr>
                <w:b/>
                <w:color w:val="FFFFFF"/>
                <w:sz w:val="17"/>
              </w:rPr>
              <w:t>Control</w:t>
            </w:r>
          </w:p>
        </w:tc>
      </w:tr>
      <w:tr>
        <w:tc>
          <w:tcPr>
            <w:tcW w:type="dxa" w:w="1296"/>
            <w:vAlign w:val="top"/>
          </w:tcPr>
          <w:p>
            <w:r>
              <w:rPr>
                <w:sz w:val="17"/>
              </w:rPr>
              <w:t>1. Freeze candidate</w:t>
            </w:r>
          </w:p>
        </w:tc>
        <w:tc>
          <w:tcPr>
            <w:tcW w:type="dxa" w:w="8496"/>
            <w:vAlign w:val="top"/>
          </w:tcPr>
          <w:p>
            <w:r>
              <w:rPr>
                <w:sz w:val="17"/>
              </w:rPr>
              <w:t>Immutable tag/build, evidence bundle and approved change window</w:t>
            </w:r>
          </w:p>
        </w:tc>
      </w:tr>
      <w:tr>
        <w:tc>
          <w:tcPr>
            <w:tcW w:type="dxa" w:w="1296"/>
            <w:vAlign w:val="top"/>
          </w:tcPr>
          <w:p>
            <w:r>
              <w:rPr>
                <w:sz w:val="17"/>
              </w:rPr>
              <w:t>2. Verify readiness</w:t>
            </w:r>
          </w:p>
        </w:tc>
        <w:tc>
          <w:tcPr>
            <w:tcW w:type="dxa" w:w="8496"/>
            <w:vAlign w:val="top"/>
          </w:tcPr>
          <w:p>
            <w:r>
              <w:rPr>
                <w:sz w:val="17"/>
              </w:rPr>
              <w:t>G5 complete; G6 decision participants confirm roles and rollback</w:t>
            </w:r>
          </w:p>
        </w:tc>
      </w:tr>
      <w:tr>
        <w:tc>
          <w:tcPr>
            <w:tcW w:type="dxa" w:w="1296"/>
            <w:vAlign w:val="top"/>
          </w:tcPr>
          <w:p>
            <w:r>
              <w:rPr>
                <w:sz w:val="17"/>
              </w:rPr>
              <w:t>3. Protect data</w:t>
            </w:r>
          </w:p>
        </w:tc>
        <w:tc>
          <w:tcPr>
            <w:tcW w:type="dxa" w:w="8496"/>
            <w:vAlign w:val="top"/>
          </w:tcPr>
          <w:p>
            <w:r>
              <w:rPr>
                <w:sz w:val="17"/>
              </w:rPr>
              <w:t>Current backup/snapshot and restore confidence; migration prechecks pass</w:t>
            </w:r>
          </w:p>
        </w:tc>
      </w:tr>
      <w:tr>
        <w:tc>
          <w:tcPr>
            <w:tcW w:type="dxa" w:w="1296"/>
            <w:vAlign w:val="top"/>
          </w:tcPr>
          <w:p>
            <w:r>
              <w:rPr>
                <w:sz w:val="17"/>
              </w:rPr>
              <w:t>4. Deploy safely</w:t>
            </w:r>
          </w:p>
        </w:tc>
        <w:tc>
          <w:tcPr>
            <w:tcW w:type="dxa" w:w="8496"/>
            <w:vAlign w:val="top"/>
          </w:tcPr>
          <w:p>
            <w:r>
              <w:rPr>
                <w:sz w:val="17"/>
              </w:rPr>
              <w:t>Automated pipeline, controlled rollout/canary and no manual undocumented mutation</w:t>
            </w:r>
          </w:p>
        </w:tc>
      </w:tr>
      <w:tr>
        <w:tc>
          <w:tcPr>
            <w:tcW w:type="dxa" w:w="1296"/>
            <w:vAlign w:val="top"/>
          </w:tcPr>
          <w:p>
            <w:r>
              <w:rPr>
                <w:sz w:val="17"/>
              </w:rPr>
              <w:t>5. Validate</w:t>
            </w:r>
          </w:p>
        </w:tc>
        <w:tc>
          <w:tcPr>
            <w:tcW w:type="dxa" w:w="8496"/>
            <w:vAlign w:val="top"/>
          </w:tcPr>
          <w:p>
            <w:r>
              <w:rPr>
                <w:sz w:val="17"/>
              </w:rPr>
              <w:t>Technical smoke checks and critical business transactions</w:t>
            </w:r>
          </w:p>
        </w:tc>
      </w:tr>
      <w:tr>
        <w:tc>
          <w:tcPr>
            <w:tcW w:type="dxa" w:w="1296"/>
            <w:vAlign w:val="top"/>
          </w:tcPr>
          <w:p>
            <w:r>
              <w:rPr>
                <w:sz w:val="17"/>
              </w:rPr>
              <w:t>6. Observe</w:t>
            </w:r>
          </w:p>
        </w:tc>
        <w:tc>
          <w:tcPr>
            <w:tcW w:type="dxa" w:w="8496"/>
            <w:vAlign w:val="top"/>
          </w:tcPr>
          <w:p>
            <w:r>
              <w:rPr>
                <w:sz w:val="17"/>
              </w:rPr>
              <w:t>Enhanced monitoring for defined stabilization window and clear halt thresholds</w:t>
            </w:r>
          </w:p>
        </w:tc>
      </w:tr>
      <w:tr>
        <w:tc>
          <w:tcPr>
            <w:tcW w:type="dxa" w:w="1296"/>
            <w:vAlign w:val="top"/>
          </w:tcPr>
          <w:p>
            <w:r>
              <w:rPr>
                <w:sz w:val="17"/>
              </w:rPr>
              <w:t>7. Decide</w:t>
            </w:r>
          </w:p>
        </w:tc>
        <w:tc>
          <w:tcPr>
            <w:tcW w:type="dxa" w:w="8496"/>
            <w:vAlign w:val="top"/>
          </w:tcPr>
          <w:p>
            <w:r>
              <w:rPr>
                <w:sz w:val="17"/>
              </w:rPr>
              <w:t>Continue, pause or rollback using objective health/business criteria</w:t>
            </w:r>
          </w:p>
        </w:tc>
      </w:tr>
      <w:tr>
        <w:tc>
          <w:tcPr>
            <w:tcW w:type="dxa" w:w="1296"/>
            <w:vAlign w:val="top"/>
          </w:tcPr>
          <w:p>
            <w:r>
              <w:rPr>
                <w:sz w:val="17"/>
              </w:rPr>
              <w:t>8. Record</w:t>
            </w:r>
          </w:p>
        </w:tc>
        <w:tc>
          <w:tcPr>
            <w:tcW w:type="dxa" w:w="8496"/>
            <w:vAlign w:val="top"/>
          </w:tcPr>
          <w:p>
            <w:r>
              <w:rPr>
                <w:sz w:val="17"/>
              </w:rPr>
              <w:t>Deployment, actors, versions, migrations, findings and final status audited</w:t>
            </w:r>
          </w:p>
        </w:tc>
      </w:tr>
      <w:tr>
        <w:tc>
          <w:tcPr>
            <w:tcW w:type="dxa" w:w="1296"/>
            <w:vAlign w:val="top"/>
          </w:tcPr>
          <w:p>
            <w:r>
              <w:rPr>
                <w:sz w:val="17"/>
              </w:rPr>
              <w:t>9. Communicate</w:t>
            </w:r>
          </w:p>
        </w:tc>
        <w:tc>
          <w:tcPr>
            <w:tcW w:type="dxa" w:w="8496"/>
            <w:vAlign w:val="top"/>
          </w:tcPr>
          <w:p>
            <w:r>
              <w:rPr>
                <w:sz w:val="17"/>
              </w:rPr>
              <w:t>Stakeholder/member communications follow approved templates</w:t>
            </w:r>
          </w:p>
        </w:tc>
      </w:tr>
      <w:tr>
        <w:tc>
          <w:tcPr>
            <w:tcW w:type="dxa" w:w="1296"/>
            <w:vAlign w:val="top"/>
          </w:tcPr>
          <w:p>
            <w:r>
              <w:rPr>
                <w:sz w:val="17"/>
              </w:rPr>
              <w:t>10. Review</w:t>
            </w:r>
          </w:p>
        </w:tc>
        <w:tc>
          <w:tcPr>
            <w:tcW w:type="dxa" w:w="8496"/>
            <w:vAlign w:val="top"/>
          </w:tcPr>
          <w:p>
            <w:r>
              <w:rPr>
                <w:sz w:val="17"/>
              </w:rPr>
              <w:t>Post-release review captures incidents, defects, metrics and actions</w:t>
            </w:r>
          </w:p>
        </w:tc>
      </w:tr>
    </w:tbl>
    <w:p>
      <w:pPr>
        <w:pStyle w:val="Heading1"/>
      </w:pPr>
      <w:r>
        <w:t>32. Rollback and forward-fix rules</w:t>
      </w:r>
    </w:p>
    <w:p>
      <w:pPr>
        <w:pStyle w:val="ListBullet"/>
      </w:pPr>
      <w:r>
        <w:t>Rollback triggers are defined before release and include security/privacy exposure, data corruption, severe availability loss and failed critical journeys.</w:t>
      </w:r>
    </w:p>
    <w:p>
      <w:pPr>
        <w:pStyle w:val="ListBullet"/>
      </w:pPr>
      <w:r>
        <w:t>Schema changes use expand/migrate/contract or another approved backward-compatible method; irreversible operations require explicit executive risk acceptance.</w:t>
      </w:r>
    </w:p>
    <w:p>
      <w:pPr>
        <w:pStyle w:val="ListBullet"/>
      </w:pPr>
      <w:r>
        <w:t>Feature flags can disable risky behaviour without removing audit or data integrity.</w:t>
      </w:r>
    </w:p>
    <w:p>
      <w:pPr>
        <w:pStyle w:val="ListBullet"/>
      </w:pPr>
      <w:r>
        <w:t>Rollback never discards accepted member data; reconciliation and compensating actions are documented.</w:t>
      </w:r>
    </w:p>
    <w:p>
      <w:pPr>
        <w:pStyle w:val="ListBullet"/>
      </w:pPr>
      <w:r>
        <w:t>Any emergency forward-fix receives expedited independent review and complete after-action evidence.</w:t>
      </w:r>
    </w:p>
    <w:p>
      <w:pPr>
        <w:pStyle w:val="Heading1"/>
      </w:pPr>
      <w:r>
        <w:t>33. Support, incident and maintenance model</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1800"/>
            <w:shd w:fill="704214"/>
            <w:vAlign w:val="center"/>
          </w:tcPr>
          <w:p>
            <w:r>
              <w:rPr>
                <w:b/>
                <w:color w:val="FFFFFF"/>
                <w:sz w:val="17"/>
              </w:rPr>
              <w:t>Area</w:t>
            </w:r>
          </w:p>
        </w:tc>
        <w:tc>
          <w:tcPr>
            <w:tcW w:type="dxa" w:w="7992"/>
            <w:shd w:fill="704214"/>
            <w:vAlign w:val="center"/>
          </w:tcPr>
          <w:p>
            <w:r>
              <w:rPr>
                <w:b/>
                <w:color w:val="FFFFFF"/>
                <w:sz w:val="17"/>
              </w:rPr>
              <w:t>Frozen operating rule</w:t>
            </w:r>
          </w:p>
        </w:tc>
      </w:tr>
      <w:tr>
        <w:tc>
          <w:tcPr>
            <w:tcW w:type="dxa" w:w="1800"/>
            <w:vAlign w:val="top"/>
          </w:tcPr>
          <w:p>
            <w:r>
              <w:rPr>
                <w:sz w:val="17"/>
              </w:rPr>
              <w:t>Support hours</w:t>
            </w:r>
          </w:p>
        </w:tc>
        <w:tc>
          <w:tcPr>
            <w:tcW w:type="dxa" w:w="7992"/>
            <w:vAlign w:val="top"/>
          </w:tcPr>
          <w:p>
            <w:r>
              <w:rPr>
                <w:sz w:val="17"/>
              </w:rPr>
              <w:t>Business-hours user support and monitoring; emergency contact outside hours without guaranteed 24/7 user-support SLA</w:t>
            </w:r>
          </w:p>
        </w:tc>
      </w:tr>
      <w:tr>
        <w:tc>
          <w:tcPr>
            <w:tcW w:type="dxa" w:w="1800"/>
            <w:vAlign w:val="top"/>
          </w:tcPr>
          <w:p>
            <w:r>
              <w:rPr>
                <w:sz w:val="17"/>
              </w:rPr>
              <w:t>Severity</w:t>
            </w:r>
          </w:p>
        </w:tc>
        <w:tc>
          <w:tcPr>
            <w:tcW w:type="dxa" w:w="7992"/>
            <w:vAlign w:val="top"/>
          </w:tcPr>
          <w:p>
            <w:r>
              <w:rPr>
                <w:sz w:val="17"/>
              </w:rPr>
              <w:t>SEV-1 critical security/outage/data risk; SEV-2 serious degradation/privacy; SEV-3 normal defect/local issue</w:t>
            </w:r>
          </w:p>
        </w:tc>
      </w:tr>
      <w:tr>
        <w:tc>
          <w:tcPr>
            <w:tcW w:type="dxa" w:w="1800"/>
            <w:vAlign w:val="top"/>
          </w:tcPr>
          <w:p>
            <w:r>
              <w:rPr>
                <w:sz w:val="17"/>
              </w:rPr>
              <w:t>Incident command</w:t>
            </w:r>
          </w:p>
        </w:tc>
        <w:tc>
          <w:tcPr>
            <w:tcW w:type="dxa" w:w="7992"/>
            <w:vAlign w:val="top"/>
          </w:tcPr>
          <w:p>
            <w:r>
              <w:rPr>
                <w:sz w:val="17"/>
              </w:rPr>
              <w:t>One accountable Incident Commander; technical, security, privacy and communications roles assigned</w:t>
            </w:r>
          </w:p>
        </w:tc>
      </w:tr>
      <w:tr>
        <w:tc>
          <w:tcPr>
            <w:tcW w:type="dxa" w:w="1800"/>
            <w:vAlign w:val="top"/>
          </w:tcPr>
          <w:p>
            <w:r>
              <w:rPr>
                <w:sz w:val="17"/>
              </w:rPr>
              <w:t>Evidence</w:t>
            </w:r>
          </w:p>
        </w:tc>
        <w:tc>
          <w:tcPr>
            <w:tcW w:type="dxa" w:w="7992"/>
            <w:vAlign w:val="top"/>
          </w:tcPr>
          <w:p>
            <w:r>
              <w:rPr>
                <w:sz w:val="17"/>
              </w:rPr>
              <w:t>Timeline, decisions, access, commands/changes, communications and recovery verification retained</w:t>
            </w:r>
          </w:p>
        </w:tc>
      </w:tr>
      <w:tr>
        <w:tc>
          <w:tcPr>
            <w:tcW w:type="dxa" w:w="1800"/>
            <w:vAlign w:val="top"/>
          </w:tcPr>
          <w:p>
            <w:r>
              <w:rPr>
                <w:sz w:val="17"/>
              </w:rPr>
              <w:t>Post-incident</w:t>
            </w:r>
          </w:p>
        </w:tc>
        <w:tc>
          <w:tcPr>
            <w:tcW w:type="dxa" w:w="7992"/>
            <w:vAlign w:val="top"/>
          </w:tcPr>
          <w:p>
            <w:r>
              <w:rPr>
                <w:sz w:val="17"/>
              </w:rPr>
              <w:t>Root cause and corrective actions for material incidents; owners/dates tracked to closure</w:t>
            </w:r>
          </w:p>
        </w:tc>
      </w:tr>
      <w:tr>
        <w:tc>
          <w:tcPr>
            <w:tcW w:type="dxa" w:w="1800"/>
            <w:vAlign w:val="top"/>
          </w:tcPr>
          <w:p>
            <w:r>
              <w:rPr>
                <w:sz w:val="17"/>
              </w:rPr>
              <w:t>Patching</w:t>
            </w:r>
          </w:p>
        </w:tc>
        <w:tc>
          <w:tcPr>
            <w:tcW w:type="dxa" w:w="7992"/>
            <w:vAlign w:val="top"/>
          </w:tcPr>
          <w:p>
            <w:r>
              <w:rPr>
                <w:sz w:val="17"/>
              </w:rPr>
              <w:t>Risk-based dependency/platform/security updates with testing and rollback</w:t>
            </w:r>
          </w:p>
        </w:tc>
      </w:tr>
      <w:tr>
        <w:tc>
          <w:tcPr>
            <w:tcW w:type="dxa" w:w="1800"/>
            <w:vAlign w:val="top"/>
          </w:tcPr>
          <w:p>
            <w:r>
              <w:rPr>
                <w:sz w:val="17"/>
              </w:rPr>
              <w:t>Maintenance</w:t>
            </w:r>
          </w:p>
        </w:tc>
        <w:tc>
          <w:tcPr>
            <w:tcW w:type="dxa" w:w="7992"/>
            <w:vAlign w:val="top"/>
          </w:tcPr>
          <w:p>
            <w:r>
              <w:rPr>
                <w:sz w:val="17"/>
              </w:rPr>
              <w:t>Daily/continuous health; weekly queues; monthly access/cost/backup; quarterly DR/security/capacity reviews</w:t>
            </w:r>
          </w:p>
        </w:tc>
      </w:tr>
      <w:tr>
        <w:tc>
          <w:tcPr>
            <w:tcW w:type="dxa" w:w="1800"/>
            <w:vAlign w:val="top"/>
          </w:tcPr>
          <w:p>
            <w:r>
              <w:rPr>
                <w:sz w:val="17"/>
              </w:rPr>
              <w:t>Problem management</w:t>
            </w:r>
          </w:p>
        </w:tc>
        <w:tc>
          <w:tcPr>
            <w:tcW w:type="dxa" w:w="7992"/>
            <w:vAlign w:val="top"/>
          </w:tcPr>
          <w:p>
            <w:r>
              <w:rPr>
                <w:sz w:val="17"/>
              </w:rPr>
              <w:t>Recurring incidents and defects become governed root-cause work, not repeated workarounds</w:t>
            </w:r>
          </w:p>
        </w:tc>
      </w:tr>
    </w:tbl>
    <w:p>
      <w:pPr>
        <w:pStyle w:val="Heading1"/>
      </w:pPr>
      <w:r>
        <w:t>34. Agency contract and handover controls</w:t>
      </w:r>
    </w:p>
    <w:p>
      <w:pPr>
        <w:pStyle w:val="ListBullet"/>
      </w:pPr>
      <w:r>
        <w:t>All work products, source code, designs, documentation, configurations and deliverables are assigned to Jyphra under the signed contract.</w:t>
      </w:r>
    </w:p>
    <w:p>
      <w:pPr>
        <w:pStyle w:val="ListBullet"/>
      </w:pPr>
      <w:r>
        <w:t>Agency access is named, least-privilege, MFA-protected, time-bound and revoked promptly at role end.</w:t>
      </w:r>
    </w:p>
    <w:p>
      <w:pPr>
        <w:pStyle w:val="ListBullet"/>
      </w:pPr>
      <w:r>
        <w:t>No supplier-owned repository, cloud account, signing key or undocumented paid dependency may become a production prerequisite.</w:t>
      </w:r>
    </w:p>
    <w:p>
      <w:pPr>
        <w:pStyle w:val="ListBullet"/>
      </w:pPr>
      <w:r>
        <w:t>Invoices/funding milestones align to accepted gate evidence, not effort claims alone.</w:t>
      </w:r>
    </w:p>
    <w:p>
      <w:pPr>
        <w:pStyle w:val="ListBullet"/>
      </w:pPr>
      <w:r>
        <w:t>Handover includes architecture, source/build, environments, secrets custody, data models, APIs, tests, monitoring, incidents, known risks and operational training.</w:t>
      </w:r>
    </w:p>
    <w:p>
      <w:pPr>
        <w:pStyle w:val="ListBullet"/>
      </w:pPr>
      <w:r>
        <w:t>Warranty terms define severity response, defect correction, exclusions and transition support.</w:t>
      </w:r>
    </w:p>
    <w:p>
      <w:pPr>
        <w:pStyle w:val="ListBullet"/>
      </w:pPr>
      <w:r>
        <w:t>Exit assistance and replaceability are tested before final payment.</w:t>
      </w:r>
    </w:p>
    <w:p>
      <w:pPr>
        <w:pStyle w:val="Heading1"/>
      </w:pPr>
      <w:r>
        <w:t>35. Training and operational handover</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232"/>
            <w:shd w:fill="704214"/>
            <w:vAlign w:val="center"/>
          </w:tcPr>
          <w:p>
            <w:r>
              <w:rPr>
                <w:b/>
                <w:color w:val="FFFFFF"/>
                <w:sz w:val="17"/>
              </w:rPr>
              <w:t>Audience</w:t>
            </w:r>
          </w:p>
        </w:tc>
        <w:tc>
          <w:tcPr>
            <w:tcW w:type="dxa" w:w="7560"/>
            <w:shd w:fill="704214"/>
            <w:vAlign w:val="center"/>
          </w:tcPr>
          <w:p>
            <w:r>
              <w:rPr>
                <w:b/>
                <w:color w:val="FFFFFF"/>
                <w:sz w:val="17"/>
              </w:rPr>
              <w:t>Required training / evidence</w:t>
            </w:r>
          </w:p>
        </w:tc>
      </w:tr>
      <w:tr>
        <w:tc>
          <w:tcPr>
            <w:tcW w:type="dxa" w:w="2232"/>
            <w:vAlign w:val="top"/>
          </w:tcPr>
          <w:p>
            <w:r>
              <w:rPr>
                <w:sz w:val="17"/>
              </w:rPr>
              <w:t>Members/support</w:t>
            </w:r>
          </w:p>
        </w:tc>
        <w:tc>
          <w:tcPr>
            <w:tcW w:type="dxa" w:w="7560"/>
            <w:vAlign w:val="top"/>
          </w:tcPr>
          <w:p>
            <w:r>
              <w:rPr>
                <w:sz w:val="17"/>
              </w:rPr>
              <w:t>Account, privacy, correction, reporting and support scripts</w:t>
            </w:r>
          </w:p>
        </w:tc>
      </w:tr>
      <w:tr>
        <w:tc>
          <w:tcPr>
            <w:tcW w:type="dxa" w:w="2232"/>
            <w:vAlign w:val="top"/>
          </w:tcPr>
          <w:p>
            <w:r>
              <w:rPr>
                <w:sz w:val="17"/>
              </w:rPr>
              <w:t>Genealogy verifiers</w:t>
            </w:r>
          </w:p>
        </w:tc>
        <w:tc>
          <w:tcPr>
            <w:tcW w:type="dxa" w:w="7560"/>
            <w:vAlign w:val="top"/>
          </w:tcPr>
          <w:p>
            <w:r>
              <w:rPr>
                <w:sz w:val="17"/>
              </w:rPr>
              <w:t>Evidence, duplicates, conflicts, recusal, privacy and approval workflow</w:t>
            </w:r>
          </w:p>
        </w:tc>
      </w:tr>
      <w:tr>
        <w:tc>
          <w:tcPr>
            <w:tcW w:type="dxa" w:w="2232"/>
            <w:vAlign w:val="top"/>
          </w:tcPr>
          <w:p>
            <w:r>
              <w:rPr>
                <w:sz w:val="17"/>
              </w:rPr>
              <w:t>Cultural authorities</w:t>
            </w:r>
          </w:p>
        </w:tc>
        <w:tc>
          <w:tcPr>
            <w:tcW w:type="dxa" w:w="7560"/>
            <w:vAlign w:val="top"/>
          </w:tcPr>
          <w:p>
            <w:r>
              <w:rPr>
                <w:sz w:val="17"/>
              </w:rPr>
              <w:t>Rule proposal, evidence, two-person approval, versioning and publication</w:t>
            </w:r>
          </w:p>
        </w:tc>
      </w:tr>
      <w:tr>
        <w:tc>
          <w:tcPr>
            <w:tcW w:type="dxa" w:w="2232"/>
            <w:vAlign w:val="top"/>
          </w:tcPr>
          <w:p>
            <w:r>
              <w:rPr>
                <w:sz w:val="17"/>
              </w:rPr>
              <w:t>Moderators</w:t>
            </w:r>
          </w:p>
        </w:tc>
        <w:tc>
          <w:tcPr>
            <w:tcW w:type="dxa" w:w="7560"/>
            <w:vAlign w:val="top"/>
          </w:tcPr>
          <w:p>
            <w:r>
              <w:rPr>
                <w:sz w:val="17"/>
              </w:rPr>
              <w:t>Community rules, severity, safeguarding, evidence, appeal and escalation</w:t>
            </w:r>
          </w:p>
        </w:tc>
      </w:tr>
      <w:tr>
        <w:tc>
          <w:tcPr>
            <w:tcW w:type="dxa" w:w="2232"/>
            <w:vAlign w:val="top"/>
          </w:tcPr>
          <w:p>
            <w:r>
              <w:rPr>
                <w:sz w:val="17"/>
              </w:rPr>
              <w:t>Administrators</w:t>
            </w:r>
          </w:p>
        </w:tc>
        <w:tc>
          <w:tcPr>
            <w:tcW w:type="dxa" w:w="7560"/>
            <w:vAlign w:val="top"/>
          </w:tcPr>
          <w:p>
            <w:r>
              <w:rPr>
                <w:sz w:val="17"/>
              </w:rPr>
              <w:t>Role scope, queues, configuration, audit and break-glass limits</w:t>
            </w:r>
          </w:p>
        </w:tc>
      </w:tr>
      <w:tr>
        <w:tc>
          <w:tcPr>
            <w:tcW w:type="dxa" w:w="2232"/>
            <w:vAlign w:val="top"/>
          </w:tcPr>
          <w:p>
            <w:r>
              <w:rPr>
                <w:sz w:val="17"/>
              </w:rPr>
              <w:t>Technical operations</w:t>
            </w:r>
          </w:p>
        </w:tc>
        <w:tc>
          <w:tcPr>
            <w:tcW w:type="dxa" w:w="7560"/>
            <w:vAlign w:val="top"/>
          </w:tcPr>
          <w:p>
            <w:r>
              <w:rPr>
                <w:sz w:val="17"/>
              </w:rPr>
              <w:t>Deploy, rollback, monitoring, incidents, backup, restore, DR and vendor management</w:t>
            </w:r>
          </w:p>
        </w:tc>
      </w:tr>
      <w:tr>
        <w:tc>
          <w:tcPr>
            <w:tcW w:type="dxa" w:w="2232"/>
            <w:vAlign w:val="top"/>
          </w:tcPr>
          <w:p>
            <w:r>
              <w:rPr>
                <w:sz w:val="17"/>
              </w:rPr>
              <w:t>Jyphra owners</w:t>
            </w:r>
          </w:p>
        </w:tc>
        <w:tc>
          <w:tcPr>
            <w:tcW w:type="dxa" w:w="7560"/>
            <w:vAlign w:val="top"/>
          </w:tcPr>
          <w:p>
            <w:r>
              <w:rPr>
                <w:sz w:val="17"/>
              </w:rPr>
              <w:t>Product/configuration authority, reporting, contracts, costs and change control</w:t>
            </w:r>
          </w:p>
        </w:tc>
      </w:tr>
    </w:tbl>
    <w:p>
      <w:pPr>
        <w:pStyle w:val="Heading1"/>
      </w:pPr>
      <w:r>
        <w:t>36. SDLC metrics and reporting</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1728"/>
            <w:shd w:fill="704214"/>
            <w:vAlign w:val="center"/>
          </w:tcPr>
          <w:p>
            <w:r>
              <w:rPr>
                <w:b/>
                <w:color w:val="FFFFFF"/>
                <w:sz w:val="17"/>
              </w:rPr>
              <w:t>Category</w:t>
            </w:r>
          </w:p>
        </w:tc>
        <w:tc>
          <w:tcPr>
            <w:tcW w:type="dxa" w:w="8064"/>
            <w:shd w:fill="704214"/>
            <w:vAlign w:val="center"/>
          </w:tcPr>
          <w:p>
            <w:r>
              <w:rPr>
                <w:b/>
                <w:color w:val="FFFFFF"/>
                <w:sz w:val="17"/>
              </w:rPr>
              <w:t>Required reporting</w:t>
            </w:r>
          </w:p>
        </w:tc>
      </w:tr>
      <w:tr>
        <w:tc>
          <w:tcPr>
            <w:tcW w:type="dxa" w:w="1728"/>
            <w:vAlign w:val="top"/>
          </w:tcPr>
          <w:p>
            <w:r>
              <w:rPr>
                <w:sz w:val="17"/>
              </w:rPr>
              <w:t>Scope</w:t>
            </w:r>
          </w:p>
        </w:tc>
        <w:tc>
          <w:tcPr>
            <w:tcW w:type="dxa" w:w="8064"/>
            <w:vAlign w:val="top"/>
          </w:tcPr>
          <w:p>
            <w:r>
              <w:rPr>
                <w:sz w:val="17"/>
              </w:rPr>
              <w:t>Requirements with owner/trace; approved change rate; backlog readiness</w:t>
            </w:r>
          </w:p>
        </w:tc>
      </w:tr>
      <w:tr>
        <w:tc>
          <w:tcPr>
            <w:tcW w:type="dxa" w:w="1728"/>
            <w:vAlign w:val="top"/>
          </w:tcPr>
          <w:p>
            <w:r>
              <w:rPr>
                <w:sz w:val="17"/>
              </w:rPr>
              <w:t>Flow</w:t>
            </w:r>
          </w:p>
        </w:tc>
        <w:tc>
          <w:tcPr>
            <w:tcW w:type="dxa" w:w="8064"/>
            <w:vAlign w:val="top"/>
          </w:tcPr>
          <w:p>
            <w:r>
              <w:rPr>
                <w:sz w:val="17"/>
              </w:rPr>
              <w:t>Lead/cycle time; blocked work; sprint predictability; review time</w:t>
            </w:r>
          </w:p>
        </w:tc>
      </w:tr>
      <w:tr>
        <w:tc>
          <w:tcPr>
            <w:tcW w:type="dxa" w:w="1728"/>
            <w:vAlign w:val="top"/>
          </w:tcPr>
          <w:p>
            <w:r>
              <w:rPr>
                <w:sz w:val="17"/>
              </w:rPr>
              <w:t>Quality</w:t>
            </w:r>
          </w:p>
        </w:tc>
        <w:tc>
          <w:tcPr>
            <w:tcW w:type="dxa" w:w="8064"/>
            <w:vAlign w:val="top"/>
          </w:tcPr>
          <w:p>
            <w:r>
              <w:rPr>
                <w:sz w:val="17"/>
              </w:rPr>
              <w:t>Escaped defects; defect aging; automation pass rate; regression stability</w:t>
            </w:r>
          </w:p>
        </w:tc>
      </w:tr>
      <w:tr>
        <w:tc>
          <w:tcPr>
            <w:tcW w:type="dxa" w:w="1728"/>
            <w:vAlign w:val="top"/>
          </w:tcPr>
          <w:p>
            <w:r>
              <w:rPr>
                <w:sz w:val="17"/>
              </w:rPr>
              <w:t>Security</w:t>
            </w:r>
          </w:p>
        </w:tc>
        <w:tc>
          <w:tcPr>
            <w:tcW w:type="dxa" w:w="8064"/>
            <w:vAlign w:val="top"/>
          </w:tcPr>
          <w:p>
            <w:r>
              <w:rPr>
                <w:sz w:val="17"/>
              </w:rPr>
              <w:t>Open vulnerabilities by severity/age; secret/dependency findings; privileged-access review</w:t>
            </w:r>
          </w:p>
        </w:tc>
      </w:tr>
      <w:tr>
        <w:tc>
          <w:tcPr>
            <w:tcW w:type="dxa" w:w="1728"/>
            <w:vAlign w:val="top"/>
          </w:tcPr>
          <w:p>
            <w:r>
              <w:rPr>
                <w:sz w:val="17"/>
              </w:rPr>
              <w:t>Product</w:t>
            </w:r>
          </w:p>
        </w:tc>
        <w:tc>
          <w:tcPr>
            <w:tcW w:type="dxa" w:w="8064"/>
            <w:vAlign w:val="top"/>
          </w:tcPr>
          <w:p>
            <w:r>
              <w:rPr>
                <w:sz w:val="17"/>
              </w:rPr>
              <w:t>Registration completion; verified profiles; search success; notification delivery; engagement</w:t>
            </w:r>
          </w:p>
        </w:tc>
      </w:tr>
      <w:tr>
        <w:tc>
          <w:tcPr>
            <w:tcW w:type="dxa" w:w="1728"/>
            <w:vAlign w:val="top"/>
          </w:tcPr>
          <w:p>
            <w:r>
              <w:rPr>
                <w:sz w:val="17"/>
              </w:rPr>
              <w:t>Genealogy</w:t>
            </w:r>
          </w:p>
        </w:tc>
        <w:tc>
          <w:tcPr>
            <w:tcW w:type="dxa" w:w="8064"/>
            <w:vAlign w:val="top"/>
          </w:tcPr>
          <w:p>
            <w:r>
              <w:rPr>
                <w:sz w:val="17"/>
              </w:rPr>
              <w:t>Coverage; duplicate rate; verification turnaround; relationship reference accuracy</w:t>
            </w:r>
          </w:p>
        </w:tc>
      </w:tr>
      <w:tr>
        <w:tc>
          <w:tcPr>
            <w:tcW w:type="dxa" w:w="1728"/>
            <w:vAlign w:val="top"/>
          </w:tcPr>
          <w:p>
            <w:r>
              <w:rPr>
                <w:sz w:val="17"/>
              </w:rPr>
              <w:t>Operations</w:t>
            </w:r>
          </w:p>
        </w:tc>
        <w:tc>
          <w:tcPr>
            <w:tcW w:type="dxa" w:w="8064"/>
            <w:vAlign w:val="top"/>
          </w:tcPr>
          <w:p>
            <w:r>
              <w:rPr>
                <w:sz w:val="17"/>
              </w:rPr>
              <w:t>Availability; latency/error; crash-free sessions; incident MTTA/MTTR; restore success</w:t>
            </w:r>
          </w:p>
        </w:tc>
      </w:tr>
      <w:tr>
        <w:tc>
          <w:tcPr>
            <w:tcW w:type="dxa" w:w="1728"/>
            <w:vAlign w:val="top"/>
          </w:tcPr>
          <w:p>
            <w:r>
              <w:rPr>
                <w:sz w:val="17"/>
              </w:rPr>
              <w:t>Governance</w:t>
            </w:r>
          </w:p>
        </w:tc>
        <w:tc>
          <w:tcPr>
            <w:tcW w:type="dxa" w:w="8064"/>
            <w:vAlign w:val="top"/>
          </w:tcPr>
          <w:p>
            <w:r>
              <w:rPr>
                <w:sz w:val="17"/>
              </w:rPr>
              <w:t>Moderator response; cultural approval; unresolved disputes; authority vacancies</w:t>
            </w:r>
          </w:p>
        </w:tc>
      </w:tr>
      <w:tr>
        <w:tc>
          <w:tcPr>
            <w:tcW w:type="dxa" w:w="1728"/>
            <w:vAlign w:val="top"/>
          </w:tcPr>
          <w:p>
            <w:r>
              <w:rPr>
                <w:sz w:val="17"/>
              </w:rPr>
              <w:t>Cost</w:t>
            </w:r>
          </w:p>
        </w:tc>
        <w:tc>
          <w:tcPr>
            <w:tcW w:type="dxa" w:w="8064"/>
            <w:vAlign w:val="top"/>
          </w:tcPr>
          <w:p>
            <w:r>
              <w:rPr>
                <w:sz w:val="17"/>
              </w:rPr>
              <w:t>Forecast variance; cloud/OTP/storage unit costs; agency milestone acceptance</w:t>
            </w:r>
          </w:p>
        </w:tc>
      </w:tr>
    </w:tbl>
    <w:p>
      <w:pPr>
        <w:pStyle w:val="Heading1"/>
      </w:pPr>
      <w:r>
        <w:t>37. Risk and dependency control</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88"/>
            <w:shd w:fill="704214"/>
            <w:vAlign w:val="center"/>
          </w:tcPr>
          <w:p>
            <w:r>
              <w:rPr>
                <w:b/>
                <w:color w:val="FFFFFF"/>
                <w:sz w:val="17"/>
              </w:rPr>
              <w:t>Risk</w:t>
            </w:r>
          </w:p>
        </w:tc>
        <w:tc>
          <w:tcPr>
            <w:tcW w:type="dxa" w:w="2736"/>
            <w:shd w:fill="704214"/>
            <w:vAlign w:val="center"/>
          </w:tcPr>
          <w:p>
            <w:r>
              <w:rPr>
                <w:b/>
                <w:color w:val="FFFFFF"/>
                <w:sz w:val="17"/>
              </w:rPr>
              <w:t>Trigger / indicator</w:t>
            </w:r>
          </w:p>
        </w:tc>
        <w:tc>
          <w:tcPr>
            <w:tcW w:type="dxa" w:w="4968"/>
            <w:shd w:fill="704214"/>
            <w:vAlign w:val="center"/>
          </w:tcPr>
          <w:p>
            <w:r>
              <w:rPr>
                <w:b/>
                <w:color w:val="FFFFFF"/>
                <w:sz w:val="17"/>
              </w:rPr>
              <w:t>Response owner / control</w:t>
            </w:r>
          </w:p>
        </w:tc>
      </w:tr>
      <w:tr>
        <w:tc>
          <w:tcPr>
            <w:tcW w:type="dxa" w:w="2088"/>
            <w:vAlign w:val="top"/>
          </w:tcPr>
          <w:p>
            <w:r>
              <w:rPr>
                <w:sz w:val="17"/>
              </w:rPr>
              <w:t>Cultural rules unavailable</w:t>
            </w:r>
          </w:p>
        </w:tc>
        <w:tc>
          <w:tcPr>
            <w:tcW w:type="dxa" w:w="2736"/>
            <w:vAlign w:val="top"/>
          </w:tcPr>
          <w:p>
            <w:r>
              <w:rPr>
                <w:sz w:val="17"/>
              </w:rPr>
              <w:t>Approval overdue or disputed</w:t>
            </w:r>
          </w:p>
        </w:tc>
        <w:tc>
          <w:tcPr>
            <w:tcW w:type="dxa" w:w="4968"/>
            <w:vAlign w:val="top"/>
          </w:tcPr>
          <w:p>
            <w:r>
              <w:rPr>
                <w:sz w:val="17"/>
              </w:rPr>
              <w:t>Use neutral/disabled production configuration; Cultural Authority owns decision</w:t>
            </w:r>
          </w:p>
        </w:tc>
      </w:tr>
      <w:tr>
        <w:tc>
          <w:tcPr>
            <w:tcW w:type="dxa" w:w="2088"/>
            <w:vAlign w:val="top"/>
          </w:tcPr>
          <w:p>
            <w:r>
              <w:rPr>
                <w:sz w:val="17"/>
              </w:rPr>
              <w:t>Genealogy data quality</w:t>
            </w:r>
          </w:p>
        </w:tc>
        <w:tc>
          <w:tcPr>
            <w:tcW w:type="dxa" w:w="2736"/>
            <w:vAlign w:val="top"/>
          </w:tcPr>
          <w:p>
            <w:r>
              <w:rPr>
                <w:sz w:val="17"/>
              </w:rPr>
              <w:t>High duplicates/missing provenance</w:t>
            </w:r>
          </w:p>
        </w:tc>
        <w:tc>
          <w:tcPr>
            <w:tcW w:type="dxa" w:w="4968"/>
            <w:vAlign w:val="top"/>
          </w:tcPr>
          <w:p>
            <w:r>
              <w:rPr>
                <w:sz w:val="17"/>
              </w:rPr>
              <w:t>Data Lead pilots, samples, reconciles and pauses unsafe import</w:t>
            </w:r>
          </w:p>
        </w:tc>
      </w:tr>
      <w:tr>
        <w:tc>
          <w:tcPr>
            <w:tcW w:type="dxa" w:w="2088"/>
            <w:vAlign w:val="top"/>
          </w:tcPr>
          <w:p>
            <w:r>
              <w:rPr>
                <w:sz w:val="17"/>
              </w:rPr>
              <w:t>Named roles vacant</w:t>
            </w:r>
          </w:p>
        </w:tc>
        <w:tc>
          <w:tcPr>
            <w:tcW w:type="dxa" w:w="2736"/>
            <w:vAlign w:val="top"/>
          </w:tcPr>
          <w:p>
            <w:r>
              <w:rPr>
                <w:sz w:val="17"/>
              </w:rPr>
              <w:t>Mandatory role/deputy absent</w:t>
            </w:r>
          </w:p>
        </w:tc>
        <w:tc>
          <w:tcPr>
            <w:tcW w:type="dxa" w:w="4968"/>
            <w:vAlign w:val="top"/>
          </w:tcPr>
          <w:p>
            <w:r>
              <w:rPr>
                <w:sz w:val="17"/>
              </w:rPr>
              <w:t>Sponsor fills before related production gate</w:t>
            </w:r>
          </w:p>
        </w:tc>
      </w:tr>
      <w:tr>
        <w:tc>
          <w:tcPr>
            <w:tcW w:type="dxa" w:w="2088"/>
            <w:vAlign w:val="top"/>
          </w:tcPr>
          <w:p>
            <w:r>
              <w:rPr>
                <w:sz w:val="17"/>
              </w:rPr>
              <w:t>Legal position unresolved</w:t>
            </w:r>
          </w:p>
        </w:tc>
        <w:tc>
          <w:tcPr>
            <w:tcW w:type="dxa" w:w="2736"/>
            <w:vAlign w:val="top"/>
          </w:tcPr>
          <w:p>
            <w:r>
              <w:rPr>
                <w:sz w:val="17"/>
              </w:rPr>
              <w:t>Counsel approval pending</w:t>
            </w:r>
          </w:p>
        </w:tc>
        <w:tc>
          <w:tcPr>
            <w:tcW w:type="dxa" w:w="4968"/>
            <w:vAlign w:val="top"/>
          </w:tcPr>
          <w:p>
            <w:r>
              <w:rPr>
                <w:sz w:val="17"/>
              </w:rPr>
              <w:t>DPO restricts activation/publication and maintains decision log</w:t>
            </w:r>
          </w:p>
        </w:tc>
      </w:tr>
      <w:tr>
        <w:tc>
          <w:tcPr>
            <w:tcW w:type="dxa" w:w="2088"/>
            <w:vAlign w:val="top"/>
          </w:tcPr>
          <w:p>
            <w:r>
              <w:rPr>
                <w:sz w:val="17"/>
              </w:rPr>
              <w:t>Agency lock-in</w:t>
            </w:r>
          </w:p>
        </w:tc>
        <w:tc>
          <w:tcPr>
            <w:tcW w:type="dxa" w:w="2736"/>
            <w:vAlign w:val="top"/>
          </w:tcPr>
          <w:p>
            <w:r>
              <w:rPr>
                <w:sz w:val="17"/>
              </w:rPr>
              <w:t>Assets outside Jyphra control</w:t>
            </w:r>
          </w:p>
        </w:tc>
        <w:tc>
          <w:tcPr>
            <w:tcW w:type="dxa" w:w="4968"/>
            <w:vAlign w:val="top"/>
          </w:tcPr>
          <w:p>
            <w:r>
              <w:rPr>
                <w:sz w:val="17"/>
              </w:rPr>
              <w:t>Technology Lead enforces repository/account/handover controls</w:t>
            </w:r>
          </w:p>
        </w:tc>
      </w:tr>
      <w:tr>
        <w:tc>
          <w:tcPr>
            <w:tcW w:type="dxa" w:w="2088"/>
            <w:vAlign w:val="top"/>
          </w:tcPr>
          <w:p>
            <w:r>
              <w:rPr>
                <w:sz w:val="17"/>
              </w:rPr>
              <w:t>Scope pressure</w:t>
            </w:r>
          </w:p>
        </w:tc>
        <w:tc>
          <w:tcPr>
            <w:tcW w:type="dxa" w:w="2736"/>
            <w:vAlign w:val="top"/>
          </w:tcPr>
          <w:p>
            <w:r>
              <w:rPr>
                <w:sz w:val="17"/>
              </w:rPr>
              <w:t>Feature omission or informal change</w:t>
            </w:r>
          </w:p>
        </w:tc>
        <w:tc>
          <w:tcPr>
            <w:tcW w:type="dxa" w:w="4968"/>
            <w:vAlign w:val="top"/>
          </w:tcPr>
          <w:p>
            <w:r>
              <w:rPr>
                <w:sz w:val="17"/>
              </w:rPr>
              <w:t>Product Owner invokes baseline change process</w:t>
            </w:r>
          </w:p>
        </w:tc>
      </w:tr>
      <w:tr>
        <w:tc>
          <w:tcPr>
            <w:tcW w:type="dxa" w:w="2088"/>
            <w:vAlign w:val="top"/>
          </w:tcPr>
          <w:p>
            <w:r>
              <w:rPr>
                <w:sz w:val="17"/>
              </w:rPr>
              <w:t>Capacity/cost variance</w:t>
            </w:r>
          </w:p>
        </w:tc>
        <w:tc>
          <w:tcPr>
            <w:tcW w:type="dxa" w:w="2736"/>
            <w:vAlign w:val="top"/>
          </w:tcPr>
          <w:p>
            <w:r>
              <w:rPr>
                <w:sz w:val="17"/>
              </w:rPr>
              <w:t>Load or vendor use exceeds forecast</w:t>
            </w:r>
          </w:p>
        </w:tc>
        <w:tc>
          <w:tcPr>
            <w:tcW w:type="dxa" w:w="4968"/>
            <w:vAlign w:val="top"/>
          </w:tcPr>
          <w:p>
            <w:r>
              <w:rPr>
                <w:sz w:val="17"/>
              </w:rPr>
              <w:t>Platform/Finance tune, cap, reforecast or procure</w:t>
            </w:r>
          </w:p>
        </w:tc>
      </w:tr>
      <w:tr>
        <w:tc>
          <w:tcPr>
            <w:tcW w:type="dxa" w:w="2088"/>
            <w:vAlign w:val="top"/>
          </w:tcPr>
          <w:p>
            <w:r>
              <w:rPr>
                <w:sz w:val="17"/>
              </w:rPr>
              <w:t>Quality compression</w:t>
            </w:r>
          </w:p>
        </w:tc>
        <w:tc>
          <w:tcPr>
            <w:tcW w:type="dxa" w:w="2736"/>
            <w:vAlign w:val="top"/>
          </w:tcPr>
          <w:p>
            <w:r>
              <w:rPr>
                <w:sz w:val="17"/>
              </w:rPr>
              <w:t>Testing reduced to protect date</w:t>
            </w:r>
          </w:p>
        </w:tc>
        <w:tc>
          <w:tcPr>
            <w:tcW w:type="dxa" w:w="4968"/>
            <w:vAlign w:val="top"/>
          </w:tcPr>
          <w:p>
            <w:r>
              <w:rPr>
                <w:sz w:val="17"/>
              </w:rPr>
              <w:t>QA rejects gate; Sponsor decides schedule/budget change, not test waiver</w:t>
            </w:r>
          </w:p>
        </w:tc>
      </w:tr>
    </w:tbl>
    <w:p>
      <w:pPr>
        <w:pStyle w:val="Heading1"/>
      </w:pPr>
      <w:r>
        <w:t>38. Change control after freeze</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088"/>
            <w:shd w:fill="704214"/>
            <w:vAlign w:val="center"/>
          </w:tcPr>
          <w:p>
            <w:r>
              <w:rPr>
                <w:b/>
                <w:color w:val="FFFFFF"/>
                <w:sz w:val="17"/>
              </w:rPr>
              <w:t>Required field</w:t>
            </w:r>
          </w:p>
        </w:tc>
        <w:tc>
          <w:tcPr>
            <w:tcW w:type="dxa" w:w="7704"/>
            <w:shd w:fill="704214"/>
            <w:vAlign w:val="center"/>
          </w:tcPr>
          <w:p>
            <w:r>
              <w:rPr>
                <w:b/>
                <w:color w:val="FFFFFF"/>
                <w:sz w:val="17"/>
              </w:rPr>
              <w:t>Content</w:t>
            </w:r>
          </w:p>
        </w:tc>
      </w:tr>
      <w:tr>
        <w:tc>
          <w:tcPr>
            <w:tcW w:type="dxa" w:w="2088"/>
            <w:vAlign w:val="top"/>
          </w:tcPr>
          <w:p>
            <w:r>
              <w:rPr>
                <w:sz w:val="17"/>
              </w:rPr>
              <w:t>Change ID and proposer</w:t>
            </w:r>
          </w:p>
        </w:tc>
        <w:tc>
          <w:tcPr>
            <w:tcW w:type="dxa" w:w="7704"/>
            <w:vAlign w:val="top"/>
          </w:tcPr>
          <w:p>
            <w:r>
              <w:rPr>
                <w:sz w:val="17"/>
              </w:rPr>
              <w:t>Unique identifier, date, role and accountable sponsor</w:t>
            </w:r>
          </w:p>
        </w:tc>
      </w:tr>
      <w:tr>
        <w:tc>
          <w:tcPr>
            <w:tcW w:type="dxa" w:w="2088"/>
            <w:vAlign w:val="top"/>
          </w:tcPr>
          <w:p>
            <w:r>
              <w:rPr>
                <w:sz w:val="17"/>
              </w:rPr>
              <w:t>Reason</w:t>
            </w:r>
          </w:p>
        </w:tc>
        <w:tc>
          <w:tcPr>
            <w:tcW w:type="dxa" w:w="7704"/>
            <w:vAlign w:val="top"/>
          </w:tcPr>
          <w:p>
            <w:r>
              <w:rPr>
                <w:sz w:val="17"/>
              </w:rPr>
              <w:t>Defect, legal/cultural correction, security, dependency, user value or operational need</w:t>
            </w:r>
          </w:p>
        </w:tc>
      </w:tr>
      <w:tr>
        <w:tc>
          <w:tcPr>
            <w:tcW w:type="dxa" w:w="2088"/>
            <w:vAlign w:val="top"/>
          </w:tcPr>
          <w:p>
            <w:r>
              <w:rPr>
                <w:sz w:val="17"/>
              </w:rPr>
              <w:t>Impact</w:t>
            </w:r>
          </w:p>
        </w:tc>
        <w:tc>
          <w:tcPr>
            <w:tcW w:type="dxa" w:w="7704"/>
            <w:vAlign w:val="top"/>
          </w:tcPr>
          <w:p>
            <w:r>
              <w:rPr>
                <w:sz w:val="17"/>
              </w:rPr>
              <w:t>Requirements, UX, data, APIs, security/privacy, tests, schedule, cost and operations</w:t>
            </w:r>
          </w:p>
        </w:tc>
      </w:tr>
      <w:tr>
        <w:tc>
          <w:tcPr>
            <w:tcW w:type="dxa" w:w="2088"/>
            <w:vAlign w:val="top"/>
          </w:tcPr>
          <w:p>
            <w:r>
              <w:rPr>
                <w:sz w:val="17"/>
              </w:rPr>
              <w:t>Options</w:t>
            </w:r>
          </w:p>
        </w:tc>
        <w:tc>
          <w:tcPr>
            <w:tcW w:type="dxa" w:w="7704"/>
            <w:vAlign w:val="top"/>
          </w:tcPr>
          <w:p>
            <w:r>
              <w:rPr>
                <w:sz w:val="17"/>
              </w:rPr>
              <w:t>Do nothing, configuration, implementation alternatives and recommendation</w:t>
            </w:r>
          </w:p>
        </w:tc>
      </w:tr>
      <w:tr>
        <w:tc>
          <w:tcPr>
            <w:tcW w:type="dxa" w:w="2088"/>
            <w:vAlign w:val="top"/>
          </w:tcPr>
          <w:p>
            <w:r>
              <w:rPr>
                <w:sz w:val="17"/>
              </w:rPr>
              <w:t>Approvals</w:t>
            </w:r>
          </w:p>
        </w:tc>
        <w:tc>
          <w:tcPr>
            <w:tcW w:type="dxa" w:w="7704"/>
            <w:vAlign w:val="top"/>
          </w:tcPr>
          <w:p>
            <w:r>
              <w:rPr>
                <w:sz w:val="17"/>
              </w:rPr>
              <w:t>Product Owner plus all affected domain authorities; executive/budget approval where material</w:t>
            </w:r>
          </w:p>
        </w:tc>
      </w:tr>
      <w:tr>
        <w:tc>
          <w:tcPr>
            <w:tcW w:type="dxa" w:w="2088"/>
            <w:vAlign w:val="top"/>
          </w:tcPr>
          <w:p>
            <w:r>
              <w:rPr>
                <w:sz w:val="17"/>
              </w:rPr>
              <w:t>Versioning</w:t>
            </w:r>
          </w:p>
        </w:tc>
        <w:tc>
          <w:tcPr>
            <w:tcW w:type="dxa" w:w="7704"/>
            <w:vAlign w:val="top"/>
          </w:tcPr>
          <w:p>
            <w:r>
              <w:rPr>
                <w:sz w:val="17"/>
              </w:rPr>
              <w:t>New document/rule/API/schema/build version; prior version retained</w:t>
            </w:r>
          </w:p>
        </w:tc>
      </w:tr>
      <w:tr>
        <w:tc>
          <w:tcPr>
            <w:tcW w:type="dxa" w:w="2088"/>
            <w:vAlign w:val="top"/>
          </w:tcPr>
          <w:p>
            <w:r>
              <w:rPr>
                <w:sz w:val="17"/>
              </w:rPr>
              <w:t>Traceability</w:t>
            </w:r>
          </w:p>
        </w:tc>
        <w:tc>
          <w:tcPr>
            <w:tcW w:type="dxa" w:w="7704"/>
            <w:vAlign w:val="top"/>
          </w:tcPr>
          <w:p>
            <w:r>
              <w:rPr>
                <w:sz w:val="17"/>
              </w:rPr>
              <w:t>Updated RTM, backlog, design, tests, release notes and manifest</w:t>
            </w:r>
          </w:p>
        </w:tc>
      </w:tr>
      <w:tr>
        <w:tc>
          <w:tcPr>
            <w:tcW w:type="dxa" w:w="2088"/>
            <w:vAlign w:val="top"/>
          </w:tcPr>
          <w:p>
            <w:r>
              <w:rPr>
                <w:sz w:val="17"/>
              </w:rPr>
              <w:t>Communication</w:t>
            </w:r>
          </w:p>
        </w:tc>
        <w:tc>
          <w:tcPr>
            <w:tcW w:type="dxa" w:w="7704"/>
            <w:vAlign w:val="top"/>
          </w:tcPr>
          <w:p>
            <w:r>
              <w:rPr>
                <w:sz w:val="17"/>
              </w:rPr>
              <w:t>Affected Jyphra, agency, governance, operations and users as applicable</w:t>
            </w:r>
          </w:p>
        </w:tc>
      </w:tr>
    </w:tbl>
    <w:p>
      <w:pPr>
        <w:pStyle w:val="Heading1"/>
      </w:pPr>
      <w:r>
        <w:t>39. Production gates that remain intentionally open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936"/>
            <w:shd w:fill="704214"/>
            <w:vAlign w:val="center"/>
          </w:tcPr>
          <w:p>
            <w:r>
              <w:rPr>
                <w:b/>
                <w:color w:val="FFFFFF"/>
                <w:sz w:val="17"/>
              </w:rPr>
              <w:t>ID</w:t>
            </w:r>
          </w:p>
        </w:tc>
        <w:tc>
          <w:tcPr>
            <w:tcW w:type="dxa" w:w="3024"/>
            <w:shd w:fill="704214"/>
            <w:vAlign w:val="center"/>
          </w:tcPr>
          <w:p>
            <w:r>
              <w:rPr>
                <w:b/>
                <w:color w:val="FFFFFF"/>
                <w:sz w:val="17"/>
              </w:rPr>
              <w:t>Gate</w:t>
            </w:r>
          </w:p>
        </w:tc>
        <w:tc>
          <w:tcPr>
            <w:tcW w:type="dxa" w:w="5832"/>
            <w:shd w:fill="704214"/>
            <w:vAlign w:val="center"/>
          </w:tcPr>
          <w:p>
            <w:r>
              <w:rPr>
                <w:b/>
                <w:color w:val="FFFFFF"/>
                <w:sz w:val="17"/>
              </w:rPr>
              <w:t>Closure condition</w:t>
            </w:r>
          </w:p>
        </w:tc>
      </w:tr>
      <w:tr>
        <w:tc>
          <w:tcPr>
            <w:tcW w:type="dxa" w:w="936"/>
            <w:vAlign w:val="top"/>
          </w:tcPr>
          <w:p>
            <w:r>
              <w:rPr>
                <w:sz w:val="17"/>
              </w:rPr>
              <w:t>OG-01</w:t>
            </w:r>
          </w:p>
        </w:tc>
        <w:tc>
          <w:tcPr>
            <w:tcW w:type="dxa" w:w="3024"/>
            <w:vAlign w:val="top"/>
          </w:tcPr>
          <w:p>
            <w:r>
              <w:rPr>
                <w:sz w:val="17"/>
              </w:rPr>
              <w:t>Authoritative cultural approval</w:t>
            </w:r>
          </w:p>
        </w:tc>
        <w:tc>
          <w:tcPr>
            <w:tcW w:type="dxa" w:w="5832"/>
            <w:vAlign w:val="top"/>
          </w:tcPr>
          <w:p>
            <w:r>
              <w:rPr>
                <w:sz w:val="17"/>
              </w:rPr>
              <w:t>Nata/Saino and ritual-sensitive rules receive required independent review/final approval</w:t>
            </w:r>
          </w:p>
        </w:tc>
      </w:tr>
      <w:tr>
        <w:tc>
          <w:tcPr>
            <w:tcW w:type="dxa" w:w="936"/>
            <w:vAlign w:val="top"/>
          </w:tcPr>
          <w:p>
            <w:r>
              <w:rPr>
                <w:sz w:val="17"/>
              </w:rPr>
              <w:t>OG-02</w:t>
            </w:r>
          </w:p>
        </w:tc>
        <w:tc>
          <w:tcPr>
            <w:tcW w:type="dxa" w:w="3024"/>
            <w:vAlign w:val="top"/>
          </w:tcPr>
          <w:p>
            <w:r>
              <w:rPr>
                <w:sz w:val="17"/>
              </w:rPr>
              <w:t>Named governance appointments</w:t>
            </w:r>
          </w:p>
        </w:tc>
        <w:tc>
          <w:tcPr>
            <w:tcW w:type="dxa" w:w="5832"/>
            <w:vAlign w:val="top"/>
          </w:tcPr>
          <w:p>
            <w:r>
              <w:rPr>
                <w:sz w:val="17"/>
              </w:rPr>
              <w:t>Mandatory roles, deputies, branch scopes and recusal coverage are active</w:t>
            </w:r>
          </w:p>
        </w:tc>
      </w:tr>
      <w:tr>
        <w:tc>
          <w:tcPr>
            <w:tcW w:type="dxa" w:w="936"/>
            <w:vAlign w:val="top"/>
          </w:tcPr>
          <w:p>
            <w:r>
              <w:rPr>
                <w:sz w:val="17"/>
              </w:rPr>
              <w:t>OG-03</w:t>
            </w:r>
          </w:p>
        </w:tc>
        <w:tc>
          <w:tcPr>
            <w:tcW w:type="dxa" w:w="3024"/>
            <w:vAlign w:val="top"/>
          </w:tcPr>
          <w:p>
            <w:r>
              <w:rPr>
                <w:sz w:val="17"/>
              </w:rPr>
              <w:t>Legal/privacy validation</w:t>
            </w:r>
          </w:p>
        </w:tc>
        <w:tc>
          <w:tcPr>
            <w:tcW w:type="dxa" w:w="5832"/>
            <w:vAlign w:val="top"/>
          </w:tcPr>
          <w:p>
            <w:r>
              <w:rPr>
                <w:sz w:val="17"/>
              </w:rPr>
              <w:t>Nepal-qualified counsel validates policies, retention, minors, deletion and processors</w:t>
            </w:r>
          </w:p>
        </w:tc>
      </w:tr>
      <w:tr>
        <w:tc>
          <w:tcPr>
            <w:tcW w:type="dxa" w:w="936"/>
            <w:vAlign w:val="top"/>
          </w:tcPr>
          <w:p>
            <w:r>
              <w:rPr>
                <w:sz w:val="17"/>
              </w:rPr>
              <w:t>OG-04</w:t>
            </w:r>
          </w:p>
        </w:tc>
        <w:tc>
          <w:tcPr>
            <w:tcW w:type="dxa" w:w="3024"/>
            <w:vAlign w:val="top"/>
          </w:tcPr>
          <w:p>
            <w:r>
              <w:rPr>
                <w:sz w:val="17"/>
              </w:rPr>
              <w:t>Real-data readiness</w:t>
            </w:r>
          </w:p>
        </w:tc>
        <w:tc>
          <w:tcPr>
            <w:tcW w:type="dxa" w:w="5832"/>
            <w:vAlign w:val="top"/>
          </w:tcPr>
          <w:p>
            <w:r>
              <w:rPr>
                <w:sz w:val="17"/>
              </w:rPr>
              <w:t>Genealogy inventory, provenance/consent, pilot, reconciliation and sampling pass</w:t>
            </w:r>
          </w:p>
        </w:tc>
      </w:tr>
      <w:tr>
        <w:tc>
          <w:tcPr>
            <w:tcW w:type="dxa" w:w="936"/>
            <w:vAlign w:val="top"/>
          </w:tcPr>
          <w:p>
            <w:r>
              <w:rPr>
                <w:sz w:val="17"/>
              </w:rPr>
              <w:t>OG-05</w:t>
            </w:r>
          </w:p>
        </w:tc>
        <w:tc>
          <w:tcPr>
            <w:tcW w:type="dxa" w:w="3024"/>
            <w:vAlign w:val="top"/>
          </w:tcPr>
          <w:p>
            <w:r>
              <w:rPr>
                <w:sz w:val="17"/>
              </w:rPr>
              <w:t>Commercial readiness</w:t>
            </w:r>
          </w:p>
        </w:tc>
        <w:tc>
          <w:tcPr>
            <w:tcW w:type="dxa" w:w="5832"/>
            <w:vAlign w:val="top"/>
          </w:tcPr>
          <w:p>
            <w:r>
              <w:rPr>
                <w:sz w:val="17"/>
              </w:rPr>
              <w:t>Live quotations, VAT/withholding, agency and vendor contracts approved</w:t>
            </w:r>
          </w:p>
        </w:tc>
      </w:tr>
      <w:tr>
        <w:tc>
          <w:tcPr>
            <w:tcW w:type="dxa" w:w="936"/>
            <w:vAlign w:val="top"/>
          </w:tcPr>
          <w:p>
            <w:r>
              <w:rPr>
                <w:sz w:val="17"/>
              </w:rPr>
              <w:t>OG-06</w:t>
            </w:r>
          </w:p>
        </w:tc>
        <w:tc>
          <w:tcPr>
            <w:tcW w:type="dxa" w:w="3024"/>
            <w:vAlign w:val="top"/>
          </w:tcPr>
          <w:p>
            <w:r>
              <w:rPr>
                <w:sz w:val="17"/>
              </w:rPr>
              <w:t>Assurance evidence</w:t>
            </w:r>
          </w:p>
        </w:tc>
        <w:tc>
          <w:tcPr>
            <w:tcW w:type="dxa" w:w="5832"/>
            <w:vAlign w:val="top"/>
          </w:tcPr>
          <w:p>
            <w:r>
              <w:rPr>
                <w:sz w:val="17"/>
              </w:rPr>
              <w:t>UAT, security, performance, accessibility, migration and DR evidence accepted</w:t>
            </w:r>
          </w:p>
        </w:tc>
      </w:tr>
      <w:tr>
        <w:tc>
          <w:tcPr>
            <w:tcW w:type="dxa" w:w="936"/>
            <w:vAlign w:val="top"/>
          </w:tcPr>
          <w:p>
            <w:r>
              <w:rPr>
                <w:sz w:val="17"/>
              </w:rPr>
              <w:t>OG-07</w:t>
            </w:r>
          </w:p>
        </w:tc>
        <w:tc>
          <w:tcPr>
            <w:tcW w:type="dxa" w:w="3024"/>
            <w:vAlign w:val="top"/>
          </w:tcPr>
          <w:p>
            <w:r>
              <w:rPr>
                <w:sz w:val="17"/>
              </w:rPr>
              <w:t>Operational readiness</w:t>
            </w:r>
          </w:p>
        </w:tc>
        <w:tc>
          <w:tcPr>
            <w:tcW w:type="dxa" w:w="5832"/>
            <w:vAlign w:val="top"/>
          </w:tcPr>
          <w:p>
            <w:r>
              <w:rPr>
                <w:sz w:val="17"/>
              </w:rPr>
              <w:t>Support, monitoring, incidents, backup/restore, training and handover complete</w:t>
            </w:r>
          </w:p>
        </w:tc>
      </w:tr>
      <w:tr>
        <w:tc>
          <w:tcPr>
            <w:tcW w:type="dxa" w:w="936"/>
            <w:vAlign w:val="top"/>
          </w:tcPr>
          <w:p>
            <w:r>
              <w:rPr>
                <w:sz w:val="17"/>
              </w:rPr>
              <w:t>OG-08</w:t>
            </w:r>
          </w:p>
        </w:tc>
        <w:tc>
          <w:tcPr>
            <w:tcW w:type="dxa" w:w="3024"/>
            <w:vAlign w:val="top"/>
          </w:tcPr>
          <w:p>
            <w:r>
              <w:rPr>
                <w:sz w:val="17"/>
              </w:rPr>
              <w:t>Store readiness</w:t>
            </w:r>
          </w:p>
        </w:tc>
        <w:tc>
          <w:tcPr>
            <w:tcW w:type="dxa" w:w="5832"/>
            <w:vAlign w:val="top"/>
          </w:tcPr>
          <w:p>
            <w:r>
              <w:rPr>
                <w:sz w:val="17"/>
              </w:rPr>
              <w:t>Apple/Google requirements, signing, listings, privacy and deletion flows accepted</w:t>
            </w:r>
          </w:p>
        </w:tc>
      </w:tr>
      <w:tr>
        <w:tc>
          <w:tcPr>
            <w:tcW w:type="dxa" w:w="936"/>
            <w:vAlign w:val="top"/>
          </w:tcPr>
          <w:p>
            <w:r>
              <w:rPr>
                <w:sz w:val="17"/>
              </w:rPr>
              <w:t>OG-09</w:t>
            </w:r>
          </w:p>
        </w:tc>
        <w:tc>
          <w:tcPr>
            <w:tcW w:type="dxa" w:w="3024"/>
            <w:vAlign w:val="top"/>
          </w:tcPr>
          <w:p>
            <w:r>
              <w:rPr>
                <w:sz w:val="17"/>
              </w:rPr>
              <w:t>Executive go-live</w:t>
            </w:r>
          </w:p>
        </w:tc>
        <w:tc>
          <w:tcPr>
            <w:tcW w:type="dxa" w:w="5832"/>
            <w:vAlign w:val="top"/>
          </w:tcPr>
          <w:p>
            <w:r>
              <w:rPr>
                <w:sz w:val="17"/>
              </w:rPr>
              <w:t>Jyphra signs final go/no-go and residual risk acceptance</w:t>
            </w:r>
          </w:p>
        </w:tc>
      </w:tr>
    </w:tbl>
    <w:p>
      <w:pPr>
        <w:pStyle w:val="Heading1"/>
      </w:pPr>
      <w:r>
        <w:t>40. Freeze statement</w:t>
      </w:r>
    </w:p>
    <w:p>
      <w:r>
        <w:t>Jyphra Technology Pvt. Ltd. approves and freezes this Final SDLC Execution &amp; Governance Specification as Development Execution Baseline v1.0, effective 8 September 2026. It authorizes the development lifecycle for the complete Release 1.0 scope. Any deviation requires formal change control. This document does not authorize production until every applicable open gate is closed.</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880"/>
            <w:shd w:fill="704214"/>
            <w:vAlign w:val="center"/>
          </w:tcPr>
          <w:p>
            <w:r>
              <w:rPr>
                <w:b/>
                <w:color w:val="FFFFFF"/>
                <w:sz w:val="17"/>
              </w:rPr>
              <w:t>Approval field</w:t>
            </w:r>
          </w:p>
        </w:tc>
        <w:tc>
          <w:tcPr>
            <w:tcW w:type="dxa" w:w="6912"/>
            <w:shd w:fill="704214"/>
            <w:vAlign w:val="center"/>
          </w:tcPr>
          <w:p>
            <w:r>
              <w:rPr>
                <w:b/>
                <w:color w:val="FFFFFF"/>
                <w:sz w:val="17"/>
              </w:rPr>
              <w:t>Frozen value</w:t>
            </w:r>
          </w:p>
        </w:tc>
      </w:tr>
      <w:tr>
        <w:tc>
          <w:tcPr>
            <w:tcW w:type="dxa" w:w="2880"/>
            <w:vAlign w:val="top"/>
          </w:tcPr>
          <w:p>
            <w:r>
              <w:rPr>
                <w:sz w:val="17"/>
              </w:rPr>
              <w:t>Owner</w:t>
            </w:r>
          </w:p>
        </w:tc>
        <w:tc>
          <w:tcPr>
            <w:tcW w:type="dxa" w:w="6912"/>
            <w:vAlign w:val="top"/>
          </w:tcPr>
          <w:p>
            <w:r>
              <w:rPr>
                <w:sz w:val="17"/>
              </w:rPr>
              <w:t>Jyphra Technology Pvt. Ltd.</w:t>
            </w:r>
          </w:p>
        </w:tc>
      </w:tr>
      <w:tr>
        <w:tc>
          <w:tcPr>
            <w:tcW w:type="dxa" w:w="2880"/>
            <w:vAlign w:val="top"/>
          </w:tcPr>
          <w:p>
            <w:r>
              <w:rPr>
                <w:sz w:val="17"/>
              </w:rPr>
              <w:t>Approving organization</w:t>
            </w:r>
          </w:p>
        </w:tc>
        <w:tc>
          <w:tcPr>
            <w:tcW w:type="dxa" w:w="6912"/>
            <w:vAlign w:val="top"/>
          </w:tcPr>
          <w:p>
            <w:r>
              <w:rPr>
                <w:sz w:val="17"/>
              </w:rPr>
              <w:t>Jyphra Technology Pvt. Ltd.</w:t>
            </w:r>
          </w:p>
        </w:tc>
      </w:tr>
      <w:tr>
        <w:tc>
          <w:tcPr>
            <w:tcW w:type="dxa" w:w="2880"/>
            <w:vAlign w:val="top"/>
          </w:tcPr>
          <w:p>
            <w:r>
              <w:rPr>
                <w:sz w:val="17"/>
              </w:rPr>
              <w:t>Decision</w:t>
            </w:r>
          </w:p>
        </w:tc>
        <w:tc>
          <w:tcPr>
            <w:tcW w:type="dxa" w:w="6912"/>
            <w:vAlign w:val="top"/>
          </w:tcPr>
          <w:p>
            <w:r>
              <w:rPr>
                <w:sz w:val="17"/>
              </w:rPr>
              <w:t>Approve and freeze Final SDLC Execution Baseline v1.0</w:t>
            </w:r>
          </w:p>
        </w:tc>
      </w:tr>
      <w:tr>
        <w:tc>
          <w:tcPr>
            <w:tcW w:type="dxa" w:w="2880"/>
            <w:vAlign w:val="top"/>
          </w:tcPr>
          <w:p>
            <w:r>
              <w:rPr>
                <w:sz w:val="17"/>
              </w:rPr>
              <w:t>Development</w:t>
            </w:r>
          </w:p>
        </w:tc>
        <w:tc>
          <w:tcPr>
            <w:tcW w:type="dxa" w:w="6912"/>
            <w:vAlign w:val="top"/>
          </w:tcPr>
          <w:p>
            <w:r>
              <w:rPr>
                <w:sz w:val="17"/>
              </w:rPr>
              <w:t>Authorized under this lifecycle and the frozen requirements baseline</w:t>
            </w:r>
          </w:p>
        </w:tc>
      </w:tr>
      <w:tr>
        <w:tc>
          <w:tcPr>
            <w:tcW w:type="dxa" w:w="2880"/>
            <w:vAlign w:val="top"/>
          </w:tcPr>
          <w:p>
            <w:r>
              <w:rPr>
                <w:sz w:val="17"/>
              </w:rPr>
              <w:t>Production</w:t>
            </w:r>
          </w:p>
        </w:tc>
        <w:tc>
          <w:tcPr>
            <w:tcW w:type="dxa" w:w="6912"/>
            <w:vAlign w:val="top"/>
          </w:tcPr>
          <w:p>
            <w:r>
              <w:rPr>
                <w:sz w:val="17"/>
              </w:rPr>
              <w:t>Withheld pending Section 39 and release-gate evidence</w:t>
            </w:r>
          </w:p>
        </w:tc>
      </w:tr>
      <w:tr>
        <w:tc>
          <w:tcPr>
            <w:tcW w:type="dxa" w:w="2880"/>
            <w:vAlign w:val="top"/>
          </w:tcPr>
          <w:p>
            <w:r>
              <w:rPr>
                <w:sz w:val="17"/>
              </w:rPr>
              <w:t>Change policy</w:t>
            </w:r>
          </w:p>
        </w:tc>
        <w:tc>
          <w:tcPr>
            <w:tcW w:type="dxa" w:w="6912"/>
            <w:vAlign w:val="top"/>
          </w:tcPr>
          <w:p>
            <w:r>
              <w:rPr>
                <w:sz w:val="17"/>
              </w:rPr>
              <w:t>No silent amendment; approved versioned change only</w:t>
            </w:r>
          </w:p>
        </w:tc>
      </w:tr>
    </w:tbl>
    <w:p>
      <w:pPr>
        <w:pStyle w:val="Heading1"/>
      </w:pPr>
      <w:r>
        <w:t>Appendix A — Mandatory artifact catalogue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936"/>
            <w:shd w:fill="704214"/>
            <w:vAlign w:val="center"/>
          </w:tcPr>
          <w:p>
            <w:r>
              <w:rPr>
                <w:b/>
                <w:color w:val="FFFFFF"/>
                <w:sz w:val="17"/>
              </w:rPr>
              <w:t>ID</w:t>
            </w:r>
          </w:p>
        </w:tc>
        <w:tc>
          <w:tcPr>
            <w:tcW w:type="dxa" w:w="4680"/>
            <w:shd w:fill="704214"/>
            <w:vAlign w:val="center"/>
          </w:tcPr>
          <w:p>
            <w:r>
              <w:rPr>
                <w:b/>
                <w:color w:val="FFFFFF"/>
                <w:sz w:val="17"/>
              </w:rPr>
              <w:t>Artifact</w:t>
            </w:r>
          </w:p>
        </w:tc>
        <w:tc>
          <w:tcPr>
            <w:tcW w:type="dxa" w:w="2520"/>
            <w:shd w:fill="704214"/>
            <w:vAlign w:val="center"/>
          </w:tcPr>
          <w:p>
            <w:r>
              <w:rPr>
                <w:b/>
                <w:color w:val="FFFFFF"/>
                <w:sz w:val="17"/>
              </w:rPr>
              <w:t>Accountable owner</w:t>
            </w:r>
          </w:p>
        </w:tc>
        <w:tc>
          <w:tcPr>
            <w:tcW w:type="dxa" w:w="1656"/>
            <w:shd w:fill="704214"/>
            <w:vAlign w:val="center"/>
          </w:tcPr>
          <w:p>
            <w:r>
              <w:rPr>
                <w:b/>
                <w:color w:val="FFFFFF"/>
                <w:sz w:val="17"/>
              </w:rPr>
              <w:t>Required by</w:t>
            </w:r>
          </w:p>
        </w:tc>
      </w:tr>
      <w:tr>
        <w:tc>
          <w:tcPr>
            <w:tcW w:type="dxa" w:w="936"/>
            <w:vAlign w:val="top"/>
          </w:tcPr>
          <w:p>
            <w:r>
              <w:rPr>
                <w:sz w:val="17"/>
              </w:rPr>
              <w:t>A01</w:t>
            </w:r>
          </w:p>
        </w:tc>
        <w:tc>
          <w:tcPr>
            <w:tcW w:type="dxa" w:w="4680"/>
            <w:vAlign w:val="top"/>
          </w:tcPr>
          <w:p>
            <w:r>
              <w:rPr>
                <w:sz w:val="17"/>
              </w:rPr>
              <w:t>Product backlog and RTM</w:t>
            </w:r>
          </w:p>
        </w:tc>
        <w:tc>
          <w:tcPr>
            <w:tcW w:type="dxa" w:w="2520"/>
            <w:vAlign w:val="top"/>
          </w:tcPr>
          <w:p>
            <w:r>
              <w:rPr>
                <w:sz w:val="17"/>
              </w:rPr>
              <w:t>Product Owner</w:t>
            </w:r>
          </w:p>
        </w:tc>
        <w:tc>
          <w:tcPr>
            <w:tcW w:type="dxa" w:w="1656"/>
            <w:vAlign w:val="top"/>
          </w:tcPr>
          <w:p>
            <w:r>
              <w:rPr>
                <w:sz w:val="17"/>
              </w:rPr>
              <w:t>Continuous</w:t>
            </w:r>
          </w:p>
        </w:tc>
      </w:tr>
      <w:tr>
        <w:tc>
          <w:tcPr>
            <w:tcW w:type="dxa" w:w="936"/>
            <w:vAlign w:val="top"/>
          </w:tcPr>
          <w:p>
            <w:r>
              <w:rPr>
                <w:sz w:val="17"/>
              </w:rPr>
              <w:t>A02</w:t>
            </w:r>
          </w:p>
        </w:tc>
        <w:tc>
          <w:tcPr>
            <w:tcW w:type="dxa" w:w="4680"/>
            <w:vAlign w:val="top"/>
          </w:tcPr>
          <w:p>
            <w:r>
              <w:rPr>
                <w:sz w:val="17"/>
              </w:rPr>
              <w:t>Screen designs, prototype and design system</w:t>
            </w:r>
          </w:p>
        </w:tc>
        <w:tc>
          <w:tcPr>
            <w:tcW w:type="dxa" w:w="2520"/>
            <w:vAlign w:val="top"/>
          </w:tcPr>
          <w:p>
            <w:r>
              <w:rPr>
                <w:sz w:val="17"/>
              </w:rPr>
              <w:t>UX Lead</w:t>
            </w:r>
          </w:p>
        </w:tc>
        <w:tc>
          <w:tcPr>
            <w:tcW w:type="dxa" w:w="1656"/>
            <w:vAlign w:val="top"/>
          </w:tcPr>
          <w:p>
            <w:r>
              <w:rPr>
                <w:sz w:val="17"/>
              </w:rPr>
              <w:t>G1; maintained</w:t>
            </w:r>
          </w:p>
        </w:tc>
      </w:tr>
      <w:tr>
        <w:tc>
          <w:tcPr>
            <w:tcW w:type="dxa" w:w="936"/>
            <w:vAlign w:val="top"/>
          </w:tcPr>
          <w:p>
            <w:r>
              <w:rPr>
                <w:sz w:val="17"/>
              </w:rPr>
              <w:t>A03</w:t>
            </w:r>
          </w:p>
        </w:tc>
        <w:tc>
          <w:tcPr>
            <w:tcW w:type="dxa" w:w="4680"/>
            <w:vAlign w:val="top"/>
          </w:tcPr>
          <w:p>
            <w:r>
              <w:rPr>
                <w:sz w:val="17"/>
              </w:rPr>
              <w:t>Domain model, ERD, schema and migrations</w:t>
            </w:r>
          </w:p>
        </w:tc>
        <w:tc>
          <w:tcPr>
            <w:tcW w:type="dxa" w:w="2520"/>
            <w:vAlign w:val="top"/>
          </w:tcPr>
          <w:p>
            <w:r>
              <w:rPr>
                <w:sz w:val="17"/>
              </w:rPr>
              <w:t>Data/Backend Lead</w:t>
            </w:r>
          </w:p>
        </w:tc>
        <w:tc>
          <w:tcPr>
            <w:tcW w:type="dxa" w:w="1656"/>
            <w:vAlign w:val="top"/>
          </w:tcPr>
          <w:p>
            <w:r>
              <w:rPr>
                <w:sz w:val="17"/>
              </w:rPr>
              <w:t>G1/G2; every change</w:t>
            </w:r>
          </w:p>
        </w:tc>
      </w:tr>
      <w:tr>
        <w:tc>
          <w:tcPr>
            <w:tcW w:type="dxa" w:w="936"/>
            <w:vAlign w:val="top"/>
          </w:tcPr>
          <w:p>
            <w:r>
              <w:rPr>
                <w:sz w:val="17"/>
              </w:rPr>
              <w:t>A04</w:t>
            </w:r>
          </w:p>
        </w:tc>
        <w:tc>
          <w:tcPr>
            <w:tcW w:type="dxa" w:w="4680"/>
            <w:vAlign w:val="top"/>
          </w:tcPr>
          <w:p>
            <w:r>
              <w:rPr>
                <w:sz w:val="17"/>
              </w:rPr>
              <w:t>OpenAPI and event contracts</w:t>
            </w:r>
          </w:p>
        </w:tc>
        <w:tc>
          <w:tcPr>
            <w:tcW w:type="dxa" w:w="2520"/>
            <w:vAlign w:val="top"/>
          </w:tcPr>
          <w:p>
            <w:r>
              <w:rPr>
                <w:sz w:val="17"/>
              </w:rPr>
              <w:t>Backend Lead</w:t>
            </w:r>
          </w:p>
        </w:tc>
        <w:tc>
          <w:tcPr>
            <w:tcW w:type="dxa" w:w="1656"/>
            <w:vAlign w:val="top"/>
          </w:tcPr>
          <w:p>
            <w:r>
              <w:rPr>
                <w:sz w:val="17"/>
              </w:rPr>
              <w:t>Before dependent implementation</w:t>
            </w:r>
          </w:p>
        </w:tc>
      </w:tr>
      <w:tr>
        <w:tc>
          <w:tcPr>
            <w:tcW w:type="dxa" w:w="936"/>
            <w:vAlign w:val="top"/>
          </w:tcPr>
          <w:p>
            <w:r>
              <w:rPr>
                <w:sz w:val="17"/>
              </w:rPr>
              <w:t>A05</w:t>
            </w:r>
          </w:p>
        </w:tc>
        <w:tc>
          <w:tcPr>
            <w:tcW w:type="dxa" w:w="4680"/>
            <w:vAlign w:val="top"/>
          </w:tcPr>
          <w:p>
            <w:r>
              <w:rPr>
                <w:sz w:val="17"/>
              </w:rPr>
              <w:t>ADRs and architecture views</w:t>
            </w:r>
          </w:p>
        </w:tc>
        <w:tc>
          <w:tcPr>
            <w:tcW w:type="dxa" w:w="2520"/>
            <w:vAlign w:val="top"/>
          </w:tcPr>
          <w:p>
            <w:r>
              <w:rPr>
                <w:sz w:val="17"/>
              </w:rPr>
              <w:t>Technology Lead</w:t>
            </w:r>
          </w:p>
        </w:tc>
        <w:tc>
          <w:tcPr>
            <w:tcW w:type="dxa" w:w="1656"/>
            <w:vAlign w:val="top"/>
          </w:tcPr>
          <w:p>
            <w:r>
              <w:rPr>
                <w:sz w:val="17"/>
              </w:rPr>
              <w:t>Decision-triggered</w:t>
            </w:r>
          </w:p>
        </w:tc>
      </w:tr>
      <w:tr>
        <w:tc>
          <w:tcPr>
            <w:tcW w:type="dxa" w:w="936"/>
            <w:vAlign w:val="top"/>
          </w:tcPr>
          <w:p>
            <w:r>
              <w:rPr>
                <w:sz w:val="17"/>
              </w:rPr>
              <w:t>A06</w:t>
            </w:r>
          </w:p>
        </w:tc>
        <w:tc>
          <w:tcPr>
            <w:tcW w:type="dxa" w:w="4680"/>
            <w:vAlign w:val="top"/>
          </w:tcPr>
          <w:p>
            <w:r>
              <w:rPr>
                <w:sz w:val="17"/>
              </w:rPr>
              <w:t>Threat model and DPIA</w:t>
            </w:r>
          </w:p>
        </w:tc>
        <w:tc>
          <w:tcPr>
            <w:tcW w:type="dxa" w:w="2520"/>
            <w:vAlign w:val="top"/>
          </w:tcPr>
          <w:p>
            <w:r>
              <w:rPr>
                <w:sz w:val="17"/>
              </w:rPr>
              <w:t>Security/DPO</w:t>
            </w:r>
          </w:p>
        </w:tc>
        <w:tc>
          <w:tcPr>
            <w:tcW w:type="dxa" w:w="1656"/>
            <w:vAlign w:val="top"/>
          </w:tcPr>
          <w:p>
            <w:r>
              <w:rPr>
                <w:sz w:val="17"/>
              </w:rPr>
              <w:t>G1; epic/release delta</w:t>
            </w:r>
          </w:p>
        </w:tc>
      </w:tr>
      <w:tr>
        <w:tc>
          <w:tcPr>
            <w:tcW w:type="dxa" w:w="936"/>
            <w:vAlign w:val="top"/>
          </w:tcPr>
          <w:p>
            <w:r>
              <w:rPr>
                <w:sz w:val="17"/>
              </w:rPr>
              <w:t>A07</w:t>
            </w:r>
          </w:p>
        </w:tc>
        <w:tc>
          <w:tcPr>
            <w:tcW w:type="dxa" w:w="4680"/>
            <w:vAlign w:val="top"/>
          </w:tcPr>
          <w:p>
            <w:r>
              <w:rPr>
                <w:sz w:val="17"/>
              </w:rPr>
              <w:t>Test plan, cases, automation and reports</w:t>
            </w:r>
          </w:p>
        </w:tc>
        <w:tc>
          <w:tcPr>
            <w:tcW w:type="dxa" w:w="2520"/>
            <w:vAlign w:val="top"/>
          </w:tcPr>
          <w:p>
            <w:r>
              <w:rPr>
                <w:sz w:val="17"/>
              </w:rPr>
              <w:t>QA Lead</w:t>
            </w:r>
          </w:p>
        </w:tc>
        <w:tc>
          <w:tcPr>
            <w:tcW w:type="dxa" w:w="1656"/>
            <w:vAlign w:val="top"/>
          </w:tcPr>
          <w:p>
            <w:r>
              <w:rPr>
                <w:sz w:val="17"/>
              </w:rPr>
              <w:t>Continuous/G5</w:t>
            </w:r>
          </w:p>
        </w:tc>
      </w:tr>
      <w:tr>
        <w:tc>
          <w:tcPr>
            <w:tcW w:type="dxa" w:w="936"/>
            <w:vAlign w:val="top"/>
          </w:tcPr>
          <w:p>
            <w:r>
              <w:rPr>
                <w:sz w:val="17"/>
              </w:rPr>
              <w:t>A08</w:t>
            </w:r>
          </w:p>
        </w:tc>
        <w:tc>
          <w:tcPr>
            <w:tcW w:type="dxa" w:w="4680"/>
            <w:vAlign w:val="top"/>
          </w:tcPr>
          <w:p>
            <w:r>
              <w:rPr>
                <w:sz w:val="17"/>
              </w:rPr>
              <w:t>Migration mapping, scripts and reconciliation</w:t>
            </w:r>
          </w:p>
        </w:tc>
        <w:tc>
          <w:tcPr>
            <w:tcW w:type="dxa" w:w="2520"/>
            <w:vAlign w:val="top"/>
          </w:tcPr>
          <w:p>
            <w:r>
              <w:rPr>
                <w:sz w:val="17"/>
              </w:rPr>
              <w:t>Data Lead</w:t>
            </w:r>
          </w:p>
        </w:tc>
        <w:tc>
          <w:tcPr>
            <w:tcW w:type="dxa" w:w="1656"/>
            <w:vAlign w:val="top"/>
          </w:tcPr>
          <w:p>
            <w:r>
              <w:rPr>
                <w:sz w:val="17"/>
              </w:rPr>
              <w:t>Before imports</w:t>
            </w:r>
          </w:p>
        </w:tc>
      </w:tr>
      <w:tr>
        <w:tc>
          <w:tcPr>
            <w:tcW w:type="dxa" w:w="936"/>
            <w:vAlign w:val="top"/>
          </w:tcPr>
          <w:p>
            <w:r>
              <w:rPr>
                <w:sz w:val="17"/>
              </w:rPr>
              <w:t>A09</w:t>
            </w:r>
          </w:p>
        </w:tc>
        <w:tc>
          <w:tcPr>
            <w:tcW w:type="dxa" w:w="4680"/>
            <w:vAlign w:val="top"/>
          </w:tcPr>
          <w:p>
            <w:r>
              <w:rPr>
                <w:sz w:val="17"/>
              </w:rPr>
              <w:t>CI/CD and infrastructure-as-code</w:t>
            </w:r>
          </w:p>
        </w:tc>
        <w:tc>
          <w:tcPr>
            <w:tcW w:type="dxa" w:w="2520"/>
            <w:vAlign w:val="top"/>
          </w:tcPr>
          <w:p>
            <w:r>
              <w:rPr>
                <w:sz w:val="17"/>
              </w:rPr>
              <w:t>Platform Lead</w:t>
            </w:r>
          </w:p>
        </w:tc>
        <w:tc>
          <w:tcPr>
            <w:tcW w:type="dxa" w:w="1656"/>
            <w:vAlign w:val="top"/>
          </w:tcPr>
          <w:p>
            <w:r>
              <w:rPr>
                <w:sz w:val="17"/>
              </w:rPr>
              <w:t>G2; maintained</w:t>
            </w:r>
          </w:p>
        </w:tc>
      </w:tr>
      <w:tr>
        <w:tc>
          <w:tcPr>
            <w:tcW w:type="dxa" w:w="936"/>
            <w:vAlign w:val="top"/>
          </w:tcPr>
          <w:p>
            <w:r>
              <w:rPr>
                <w:sz w:val="17"/>
              </w:rPr>
              <w:t>A10</w:t>
            </w:r>
          </w:p>
        </w:tc>
        <w:tc>
          <w:tcPr>
            <w:tcW w:type="dxa" w:w="4680"/>
            <w:vAlign w:val="top"/>
          </w:tcPr>
          <w:p>
            <w:r>
              <w:rPr>
                <w:sz w:val="17"/>
              </w:rPr>
              <w:t>Release evidence and go/no-go</w:t>
            </w:r>
          </w:p>
        </w:tc>
        <w:tc>
          <w:tcPr>
            <w:tcW w:type="dxa" w:w="2520"/>
            <w:vAlign w:val="top"/>
          </w:tcPr>
          <w:p>
            <w:r>
              <w:rPr>
                <w:sz w:val="17"/>
              </w:rPr>
              <w:t>Release Manager</w:t>
            </w:r>
          </w:p>
        </w:tc>
        <w:tc>
          <w:tcPr>
            <w:tcW w:type="dxa" w:w="1656"/>
            <w:vAlign w:val="top"/>
          </w:tcPr>
          <w:p>
            <w:r>
              <w:rPr>
                <w:sz w:val="17"/>
              </w:rPr>
              <w:t>Every production release</w:t>
            </w:r>
          </w:p>
        </w:tc>
      </w:tr>
      <w:tr>
        <w:tc>
          <w:tcPr>
            <w:tcW w:type="dxa" w:w="936"/>
            <w:vAlign w:val="top"/>
          </w:tcPr>
          <w:p>
            <w:r>
              <w:rPr>
                <w:sz w:val="17"/>
              </w:rPr>
              <w:t>A11</w:t>
            </w:r>
          </w:p>
        </w:tc>
        <w:tc>
          <w:tcPr>
            <w:tcW w:type="dxa" w:w="4680"/>
            <w:vAlign w:val="top"/>
          </w:tcPr>
          <w:p>
            <w:r>
              <w:rPr>
                <w:sz w:val="17"/>
              </w:rPr>
              <w:t>Monitoring, alerts and runbooks</w:t>
            </w:r>
          </w:p>
        </w:tc>
        <w:tc>
          <w:tcPr>
            <w:tcW w:type="dxa" w:w="2520"/>
            <w:vAlign w:val="top"/>
          </w:tcPr>
          <w:p>
            <w:r>
              <w:rPr>
                <w:sz w:val="17"/>
              </w:rPr>
              <w:t>Operations Lead</w:t>
            </w:r>
          </w:p>
        </w:tc>
        <w:tc>
          <w:tcPr>
            <w:tcW w:type="dxa" w:w="1656"/>
            <w:vAlign w:val="top"/>
          </w:tcPr>
          <w:p>
            <w:r>
              <w:rPr>
                <w:sz w:val="17"/>
              </w:rPr>
              <w:t>Before G6</w:t>
            </w:r>
          </w:p>
        </w:tc>
      </w:tr>
      <w:tr>
        <w:tc>
          <w:tcPr>
            <w:tcW w:type="dxa" w:w="936"/>
            <w:vAlign w:val="top"/>
          </w:tcPr>
          <w:p>
            <w:r>
              <w:rPr>
                <w:sz w:val="17"/>
              </w:rPr>
              <w:t>A12</w:t>
            </w:r>
          </w:p>
        </w:tc>
        <w:tc>
          <w:tcPr>
            <w:tcW w:type="dxa" w:w="4680"/>
            <w:vAlign w:val="top"/>
          </w:tcPr>
          <w:p>
            <w:r>
              <w:rPr>
                <w:sz w:val="17"/>
              </w:rPr>
              <w:t>Backup/restore and DR evidence</w:t>
            </w:r>
          </w:p>
        </w:tc>
        <w:tc>
          <w:tcPr>
            <w:tcW w:type="dxa" w:w="2520"/>
            <w:vAlign w:val="top"/>
          </w:tcPr>
          <w:p>
            <w:r>
              <w:rPr>
                <w:sz w:val="17"/>
              </w:rPr>
              <w:t>Platform Lead</w:t>
            </w:r>
          </w:p>
        </w:tc>
        <w:tc>
          <w:tcPr>
            <w:tcW w:type="dxa" w:w="1656"/>
            <w:vAlign w:val="top"/>
          </w:tcPr>
          <w:p>
            <w:r>
              <w:rPr>
                <w:sz w:val="17"/>
              </w:rPr>
              <w:t>Before G6; recurring</w:t>
            </w:r>
          </w:p>
        </w:tc>
      </w:tr>
      <w:tr>
        <w:tc>
          <w:tcPr>
            <w:tcW w:type="dxa" w:w="936"/>
            <w:vAlign w:val="top"/>
          </w:tcPr>
          <w:p>
            <w:r>
              <w:rPr>
                <w:sz w:val="17"/>
              </w:rPr>
              <w:t>A13</w:t>
            </w:r>
          </w:p>
        </w:tc>
        <w:tc>
          <w:tcPr>
            <w:tcW w:type="dxa" w:w="4680"/>
            <w:vAlign w:val="top"/>
          </w:tcPr>
          <w:p>
            <w:r>
              <w:rPr>
                <w:sz w:val="17"/>
              </w:rPr>
              <w:t>Training and handover pack</w:t>
            </w:r>
          </w:p>
        </w:tc>
        <w:tc>
          <w:tcPr>
            <w:tcW w:type="dxa" w:w="2520"/>
            <w:vAlign w:val="top"/>
          </w:tcPr>
          <w:p>
            <w:r>
              <w:rPr>
                <w:sz w:val="17"/>
              </w:rPr>
              <w:t>Program/Ops Lead</w:t>
            </w:r>
          </w:p>
        </w:tc>
        <w:tc>
          <w:tcPr>
            <w:tcW w:type="dxa" w:w="1656"/>
            <w:vAlign w:val="top"/>
          </w:tcPr>
          <w:p>
            <w:r>
              <w:rPr>
                <w:sz w:val="17"/>
              </w:rPr>
              <w:t>G6/G7</w:t>
            </w:r>
          </w:p>
        </w:tc>
      </w:tr>
      <w:tr>
        <w:tc>
          <w:tcPr>
            <w:tcW w:type="dxa" w:w="936"/>
            <w:vAlign w:val="top"/>
          </w:tcPr>
          <w:p>
            <w:r>
              <w:rPr>
                <w:sz w:val="17"/>
              </w:rPr>
              <w:t>A14</w:t>
            </w:r>
          </w:p>
        </w:tc>
        <w:tc>
          <w:tcPr>
            <w:tcW w:type="dxa" w:w="4680"/>
            <w:vAlign w:val="top"/>
          </w:tcPr>
          <w:p>
            <w:r>
              <w:rPr>
                <w:sz w:val="17"/>
              </w:rPr>
              <w:t>Cultural rule versions and approvals</w:t>
            </w:r>
          </w:p>
        </w:tc>
        <w:tc>
          <w:tcPr>
            <w:tcW w:type="dxa" w:w="2520"/>
            <w:vAlign w:val="top"/>
          </w:tcPr>
          <w:p>
            <w:r>
              <w:rPr>
                <w:sz w:val="17"/>
              </w:rPr>
              <w:t>Cultural Authority</w:t>
            </w:r>
          </w:p>
        </w:tc>
        <w:tc>
          <w:tcPr>
            <w:tcW w:type="dxa" w:w="1656"/>
            <w:vAlign w:val="top"/>
          </w:tcPr>
          <w:p>
            <w:r>
              <w:rPr>
                <w:sz w:val="17"/>
              </w:rPr>
              <w:t>Before activation</w:t>
            </w:r>
          </w:p>
        </w:tc>
      </w:tr>
      <w:tr>
        <w:tc>
          <w:tcPr>
            <w:tcW w:type="dxa" w:w="936"/>
            <w:vAlign w:val="top"/>
          </w:tcPr>
          <w:p>
            <w:r>
              <w:rPr>
                <w:sz w:val="17"/>
              </w:rPr>
              <w:t>A15</w:t>
            </w:r>
          </w:p>
        </w:tc>
        <w:tc>
          <w:tcPr>
            <w:tcW w:type="dxa" w:w="4680"/>
            <w:vAlign w:val="top"/>
          </w:tcPr>
          <w:p>
            <w:r>
              <w:rPr>
                <w:sz w:val="17"/>
              </w:rPr>
              <w:t>Privacy/legal approvals and processor register</w:t>
            </w:r>
          </w:p>
        </w:tc>
        <w:tc>
          <w:tcPr>
            <w:tcW w:type="dxa" w:w="2520"/>
            <w:vAlign w:val="top"/>
          </w:tcPr>
          <w:p>
            <w:r>
              <w:rPr>
                <w:sz w:val="17"/>
              </w:rPr>
              <w:t>DPO</w:t>
            </w:r>
          </w:p>
        </w:tc>
        <w:tc>
          <w:tcPr>
            <w:tcW w:type="dxa" w:w="1656"/>
            <w:vAlign w:val="top"/>
          </w:tcPr>
          <w:p>
            <w:r>
              <w:rPr>
                <w:sz w:val="17"/>
              </w:rPr>
              <w:t>Before production</w:t>
            </w:r>
          </w:p>
        </w:tc>
      </w:tr>
    </w:tbl>
    <w:p>
      <w:pPr>
        <w:pStyle w:val="Heading1"/>
      </w:pPr>
      <w:r>
        <w:t>Appendix B — Sprint-ready story template</w:t>
      </w:r>
    </w:p>
    <w:p>
      <w:pPr>
        <w:pStyle w:val="ListBullet"/>
      </w:pPr>
      <w:r>
        <w:t>Story ID, epic and governing requirement IDs</w:t>
      </w:r>
    </w:p>
    <w:p>
      <w:pPr>
        <w:pStyle w:val="ListBullet"/>
      </w:pPr>
      <w:r>
        <w:t>User/role, objective and business value</w:t>
      </w:r>
    </w:p>
    <w:p>
      <w:pPr>
        <w:pStyle w:val="ListBullet"/>
      </w:pPr>
      <w:r>
        <w:t>Preconditions, permissions and branch/resource scope</w:t>
      </w:r>
    </w:p>
    <w:p>
      <w:pPr>
        <w:pStyle w:val="ListBullet"/>
      </w:pPr>
      <w:r>
        <w:t>Main, alternate, validation, denial and failure behaviours</w:t>
      </w:r>
    </w:p>
    <w:p>
      <w:pPr>
        <w:pStyle w:val="ListBullet"/>
      </w:pPr>
      <w:r>
        <w:t>UX states and Nepali/English content keys</w:t>
      </w:r>
    </w:p>
    <w:p>
      <w:pPr>
        <w:pStyle w:val="ListBullet"/>
      </w:pPr>
      <w:r>
        <w:t>Data/API/event/migration impact</w:t>
      </w:r>
    </w:p>
    <w:p>
      <w:pPr>
        <w:pStyle w:val="ListBullet"/>
      </w:pPr>
      <w:r>
        <w:t>Privacy classification, consent and audit events</w:t>
      </w:r>
    </w:p>
    <w:p>
      <w:pPr>
        <w:pStyle w:val="ListBullet"/>
      </w:pPr>
      <w:r>
        <w:t>Threat/abuse cases and mitigations</w:t>
      </w:r>
    </w:p>
    <w:p>
      <w:pPr>
        <w:pStyle w:val="ListBullet"/>
      </w:pPr>
      <w:r>
        <w:t>Analytics, logs, metrics and alerts</w:t>
      </w:r>
    </w:p>
    <w:p>
      <w:pPr>
        <w:pStyle w:val="ListBullet"/>
      </w:pPr>
      <w:r>
        <w:t>Acceptance criteria and test evidence</w:t>
      </w:r>
    </w:p>
    <w:p>
      <w:pPr>
        <w:pStyle w:val="ListBullet"/>
      </w:pPr>
      <w:r>
        <w:t>Dependencies, authority decisions, feature flag and rollback</w:t>
      </w:r>
    </w:p>
    <w:p>
      <w:pPr>
        <w:pStyle w:val="ListBullet"/>
      </w:pPr>
      <w:r>
        <w:t>Definition-of-Ready approval and final acceptance</w:t>
      </w:r>
    </w:p>
    <w:p>
      <w:pPr>
        <w:pStyle w:val="Heading1"/>
      </w:pPr>
      <w:r>
        <w:t>Appendix C — Release go/no-go checklist</w:t>
      </w:r>
    </w:p>
    <w:p>
      <w:pPr>
        <w:pStyle w:val="ListBullet"/>
      </w:pPr>
      <w:r>
        <w:t>Baseline scope and approved changes reconciled</w:t>
      </w:r>
    </w:p>
    <w:p>
      <w:pPr>
        <w:pStyle w:val="ListBullet"/>
      </w:pPr>
      <w:r>
        <w:t>RTM complete; requirements have passing evidence</w:t>
      </w:r>
    </w:p>
    <w:p>
      <w:pPr>
        <w:pStyle w:val="ListBullet"/>
      </w:pPr>
      <w:r>
        <w:t>Zero blocker/critical defects and governed residual issues</w:t>
      </w:r>
    </w:p>
    <w:p>
      <w:pPr>
        <w:pStyle w:val="ListBullet"/>
      </w:pPr>
      <w:r>
        <w:t>Cultural, genealogy, privacy and legal configurations authorized</w:t>
      </w:r>
    </w:p>
    <w:p>
      <w:pPr>
        <w:pStyle w:val="ListBullet"/>
      </w:pPr>
      <w:r>
        <w:t>Security, performance, accessibility, resilience and migration evidence accepted</w:t>
      </w:r>
    </w:p>
    <w:p>
      <w:pPr>
        <w:pStyle w:val="ListBullet"/>
      </w:pPr>
      <w:r>
        <w:t>Stores/signing/listings/deletion disclosures ready</w:t>
      </w:r>
    </w:p>
    <w:p>
      <w:pPr>
        <w:pStyle w:val="ListBullet"/>
      </w:pPr>
      <w:r>
        <w:t>Monitoring, alerts, support, incidents, backups, restore and rollback ready</w:t>
      </w:r>
    </w:p>
    <w:p>
      <w:pPr>
        <w:pStyle w:val="ListBullet"/>
      </w:pPr>
      <w:r>
        <w:t>Agency/Jyphra handover and access review complete</w:t>
      </w:r>
    </w:p>
    <w:p>
      <w:pPr>
        <w:pStyle w:val="ListBullet"/>
      </w:pPr>
      <w:r>
        <w:t>Executive decision, release window and communications recorded</w:t>
      </w:r>
    </w:p>
    <w:sectPr w:rsidR="00FC693F" w:rsidRPr="0006063C" w:rsidSect="00034616">
      <w:headerReference w:type="default" r:id="rId9"/>
      <w:footerReference w:type="default" r:id="rId10"/>
      <w:pgSz w:w="12240" w:h="15840"/>
      <w:pgMar w:top="1224" w:right="1224" w:bottom="1224"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FROZEN SDLC BASELINE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04214"/>
        <w:sz w:val="16"/>
      </w:rPr>
      <w:t>JYPHRA TECHNOLOGY PVT. LTD.  |  FINAL SDLC EXECUTION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704214"/>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70421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