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04214"/>
          <w:sz w:val="28"/>
        </w:rPr>
        <w:t>KASHYAP ADHIKARI</w:t>
        <w:br/>
        <w:t>GENEALOGY &amp; COMMUNITY PLATFORM</w:t>
      </w:r>
    </w:p>
    <w:p>
      <w:pPr>
        <w:pStyle w:val="Title"/>
        <w:jc w:val="center"/>
      </w:pPr>
      <w:r>
        <w:t>Scale, Staffing and Operating Budget Plan</w:t>
      </w:r>
    </w:p>
    <w:p>
      <w:pPr>
        <w:jc w:val="center"/>
      </w:pPr>
      <w:r>
        <w:rPr>
          <w:color w:val="555555"/>
          <w:sz w:val="28"/>
        </w:rPr>
        <w:t>Three-scenario implementation budget and three-year total cost of ownership</w:t>
      </w:r>
    </w:p>
    <w:p>
      <w:r>
        <w:br/>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shd w:fill="704214"/>
            <w:vAlign w:val="center"/>
          </w:tcPr>
          <w:p>
            <w:r>
              <w:rPr>
                <w:b/>
                <w:color w:val="FFFFFF"/>
              </w:rPr>
              <w:t>Document control</w:t>
            </w:r>
          </w:p>
        </w:tc>
        <w:tc>
          <w:tcPr>
            <w:tcW w:type="dxa" w:w="6480"/>
            <w:shd w:fill="704214"/>
            <w:vAlign w:val="center"/>
          </w:tcPr>
          <w:p>
            <w:r>
              <w:rPr>
                <w:b/>
                <w:color w:val="FFFFFF"/>
              </w:rPr>
              <w:t>Value</w:t>
            </w:r>
          </w:p>
        </w:tc>
      </w:tr>
      <w:tr>
        <w:trPr>
          <w:cantSplit/>
        </w:trPr>
        <w:tc>
          <w:tcPr>
            <w:tcW w:type="dxa" w:w="2880"/>
            <w:vAlign w:val="top"/>
          </w:tcPr>
          <w:p>
            <w:r>
              <w:t>Owner and approving organization</w:t>
            </w:r>
          </w:p>
        </w:tc>
        <w:tc>
          <w:tcPr>
            <w:tcW w:type="dxa" w:w="6480"/>
            <w:vAlign w:val="top"/>
          </w:tcPr>
          <w:p>
            <w:r>
              <w:t>Jyphra Technology Pvt. Ltd.</w:t>
            </w:r>
          </w:p>
        </w:tc>
      </w:tr>
      <w:tr>
        <w:trPr>
          <w:cantSplit/>
        </w:trPr>
        <w:tc>
          <w:tcPr>
            <w:tcW w:type="dxa" w:w="2880"/>
            <w:vAlign w:val="top"/>
          </w:tcPr>
          <w:p>
            <w:r>
              <w:t>Status</w:t>
            </w:r>
          </w:p>
        </w:tc>
        <w:tc>
          <w:tcPr>
            <w:tcW w:type="dxa" w:w="6480"/>
            <w:vAlign w:val="top"/>
          </w:tcPr>
          <w:p>
            <w:r>
              <w:t>Approved planning baseline for budgeting and procurement</w:t>
            </w:r>
          </w:p>
        </w:tc>
      </w:tr>
      <w:tr>
        <w:trPr>
          <w:cantSplit/>
        </w:trPr>
        <w:tc>
          <w:tcPr>
            <w:tcW w:type="dxa" w:w="2880"/>
            <w:vAlign w:val="top"/>
          </w:tcPr>
          <w:p>
            <w:r>
              <w:t>Version / date</w:t>
            </w:r>
          </w:p>
        </w:tc>
        <w:tc>
          <w:tcPr>
            <w:tcW w:type="dxa" w:w="6480"/>
            <w:vAlign w:val="top"/>
          </w:tcPr>
          <w:p>
            <w:r>
              <w:t>0.1 / 8 September 2026</w:t>
            </w:r>
          </w:p>
        </w:tc>
      </w:tr>
      <w:tr>
        <w:trPr>
          <w:cantSplit/>
        </w:trPr>
        <w:tc>
          <w:tcPr>
            <w:tcW w:type="dxa" w:w="2880"/>
            <w:vAlign w:val="top"/>
          </w:tcPr>
          <w:p>
            <w:r>
              <w:t>Delivery model</w:t>
            </w:r>
          </w:p>
        </w:tc>
        <w:tc>
          <w:tcPr>
            <w:tcW w:type="dxa" w:w="6480"/>
            <w:vAlign w:val="top"/>
          </w:tcPr>
          <w:p>
            <w:r>
              <w:t>Jyphra-led hybrid team with an external development agency managed by Jyphra</w:t>
            </w:r>
          </w:p>
        </w:tc>
      </w:tr>
      <w:tr>
        <w:trPr>
          <w:cantSplit/>
        </w:trPr>
        <w:tc>
          <w:tcPr>
            <w:tcW w:type="dxa" w:w="2880"/>
            <w:vAlign w:val="top"/>
          </w:tcPr>
          <w:p>
            <w:r>
              <w:t>Planning horizon</w:t>
            </w:r>
          </w:p>
        </w:tc>
        <w:tc>
          <w:tcPr>
            <w:tcW w:type="dxa" w:w="6480"/>
            <w:vAlign w:val="top"/>
          </w:tcPr>
          <w:p>
            <w:r>
              <w:t>12–15 months implementation plus three post-launch years</w:t>
            </w:r>
          </w:p>
        </w:tc>
      </w:tr>
      <w:tr>
        <w:trPr>
          <w:cantSplit/>
        </w:trPr>
        <w:tc>
          <w:tcPr>
            <w:tcW w:type="dxa" w:w="2880"/>
            <w:vAlign w:val="top"/>
          </w:tcPr>
          <w:p>
            <w:r>
              <w:t>Currency</w:t>
            </w:r>
          </w:p>
        </w:tc>
        <w:tc>
          <w:tcPr>
            <w:tcW w:type="dxa" w:w="6480"/>
            <w:vAlign w:val="top"/>
          </w:tcPr>
          <w:p>
            <w:r>
              <w:t>NPR; taxes shown separately</w:t>
            </w:r>
          </w:p>
        </w:tc>
      </w:tr>
      <w:tr>
        <w:trPr>
          <w:cantSplit/>
        </w:trPr>
        <w:tc>
          <w:tcPr>
            <w:tcW w:type="dxa" w:w="2880"/>
            <w:vAlign w:val="top"/>
          </w:tcPr>
          <w:p>
            <w:r>
              <w:t>Confidentiality</w:t>
            </w:r>
          </w:p>
        </w:tc>
        <w:tc>
          <w:tcPr>
            <w:tcW w:type="dxa" w:w="6480"/>
            <w:vAlign w:val="top"/>
          </w:tcPr>
          <w:p>
            <w:r>
              <w:t>Workstream totals only; no individual compensation disclosure</w:t>
            </w:r>
          </w:p>
        </w:tc>
      </w:tr>
    </w:tbl>
    <w:p>
      <w:r>
        <w:br w:type="page"/>
      </w:r>
    </w:p>
    <w:p>
      <w:pPr>
        <w:pStyle w:val="Heading1"/>
      </w:pPr>
      <w:r>
        <w:t>1. Executive decision</w:t>
      </w:r>
    </w:p>
    <w:p>
      <w:r>
        <w:t>Jyphra Technology Pvt. Ltd. should adopt the Recommended Production-Grade scenario as the formal financial baseline for Release 1.0. It balances nationwide readiness, professional assurance and controlled operating cost. The Minimum scenario remains a constrained fallback; the Enterprise scenario adds resilience, delivery capacity and deeper assurance but is not required to begin.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944"/>
            <w:shd w:fill="704214"/>
            <w:vAlign w:val="center"/>
          </w:tcPr>
          <w:p>
            <w:r>
              <w:rPr>
                <w:b/>
                <w:color w:val="FFFFFF"/>
              </w:rPr>
              <w:t>Scenario</w:t>
            </w:r>
          </w:p>
        </w:tc>
        <w:tc>
          <w:tcPr>
            <w:tcW w:type="dxa" w:w="2520"/>
            <w:shd w:fill="704214"/>
            <w:vAlign w:val="center"/>
          </w:tcPr>
          <w:p>
            <w:r>
              <w:rPr>
                <w:b/>
                <w:color w:val="FFFFFF"/>
              </w:rPr>
              <w:t>Implementation incl. 15% contingency, excl. VAT</w:t>
            </w:r>
          </w:p>
        </w:tc>
        <w:tc>
          <w:tcPr>
            <w:tcW w:type="dxa" w:w="2304"/>
            <w:shd w:fill="704214"/>
            <w:vAlign w:val="center"/>
          </w:tcPr>
          <w:p>
            <w:r>
              <w:rPr>
                <w:b/>
                <w:color w:val="FFFFFF"/>
              </w:rPr>
              <w:t>3-year operations, excl. VAT</w:t>
            </w:r>
          </w:p>
        </w:tc>
        <w:tc>
          <w:tcPr>
            <w:tcW w:type="dxa" w:w="2592"/>
            <w:shd w:fill="704214"/>
            <w:vAlign w:val="center"/>
          </w:tcPr>
          <w:p>
            <w:r>
              <w:rPr>
                <w:b/>
                <w:color w:val="FFFFFF"/>
              </w:rPr>
              <w:t>3-year TCO, excl. VAT</w:t>
            </w:r>
          </w:p>
        </w:tc>
      </w:tr>
      <w:tr>
        <w:trPr>
          <w:cantSplit/>
        </w:trPr>
        <w:tc>
          <w:tcPr>
            <w:tcW w:type="dxa" w:w="1944"/>
            <w:vAlign w:val="top"/>
          </w:tcPr>
          <w:p>
            <w:r>
              <w:t>Minimum professional</w:t>
            </w:r>
          </w:p>
        </w:tc>
        <w:tc>
          <w:tcPr>
            <w:tcW w:type="dxa" w:w="2520"/>
            <w:vAlign w:val="top"/>
          </w:tcPr>
          <w:p>
            <w:r>
              <w:t>NPR 21.85m</w:t>
            </w:r>
          </w:p>
        </w:tc>
        <w:tc>
          <w:tcPr>
            <w:tcW w:type="dxa" w:w="2304"/>
            <w:vAlign w:val="top"/>
          </w:tcPr>
          <w:p>
            <w:r>
              <w:t>NPR 29.00m</w:t>
            </w:r>
          </w:p>
        </w:tc>
        <w:tc>
          <w:tcPr>
            <w:tcW w:type="dxa" w:w="2592"/>
            <w:vAlign w:val="top"/>
          </w:tcPr>
          <w:p>
            <w:r>
              <w:t>NPR 50.85m</w:t>
            </w:r>
          </w:p>
        </w:tc>
      </w:tr>
      <w:tr>
        <w:trPr>
          <w:cantSplit/>
        </w:trPr>
        <w:tc>
          <w:tcPr>
            <w:tcW w:type="dxa" w:w="1944"/>
            <w:vAlign w:val="top"/>
          </w:tcPr>
          <w:p>
            <w:r>
              <w:t>Recommended baseline</w:t>
            </w:r>
          </w:p>
        </w:tc>
        <w:tc>
          <w:tcPr>
            <w:tcW w:type="dxa" w:w="2520"/>
            <w:vAlign w:val="top"/>
          </w:tcPr>
          <w:p>
            <w:r>
              <w:t>NPR 43.36m</w:t>
            </w:r>
          </w:p>
        </w:tc>
        <w:tc>
          <w:tcPr>
            <w:tcW w:type="dxa" w:w="2304"/>
            <w:vAlign w:val="top"/>
          </w:tcPr>
          <w:p>
            <w:r>
              <w:t>NPR 58.80m</w:t>
            </w:r>
          </w:p>
        </w:tc>
        <w:tc>
          <w:tcPr>
            <w:tcW w:type="dxa" w:w="2592"/>
            <w:vAlign w:val="top"/>
          </w:tcPr>
          <w:p>
            <w:r>
              <w:t>NPR 102.16m</w:t>
            </w:r>
          </w:p>
        </w:tc>
      </w:tr>
      <w:tr>
        <w:trPr>
          <w:cantSplit/>
        </w:trPr>
        <w:tc>
          <w:tcPr>
            <w:tcW w:type="dxa" w:w="1944"/>
            <w:vAlign w:val="top"/>
          </w:tcPr>
          <w:p>
            <w:r>
              <w:t>Enterprise strengthened</w:t>
            </w:r>
          </w:p>
        </w:tc>
        <w:tc>
          <w:tcPr>
            <w:tcW w:type="dxa" w:w="2520"/>
            <w:vAlign w:val="top"/>
          </w:tcPr>
          <w:p>
            <w:r>
              <w:t>NPR 70.27m</w:t>
            </w:r>
          </w:p>
        </w:tc>
        <w:tc>
          <w:tcPr>
            <w:tcW w:type="dxa" w:w="2304"/>
            <w:vAlign w:val="top"/>
          </w:tcPr>
          <w:p>
            <w:r>
              <w:t>NPR 105.20m</w:t>
            </w:r>
          </w:p>
        </w:tc>
        <w:tc>
          <w:tcPr>
            <w:tcW w:type="dxa" w:w="2592"/>
            <w:vAlign w:val="top"/>
          </w:tcPr>
          <w:p>
            <w:r>
              <w:t>NPR 175.47m</w:t>
            </w:r>
          </w:p>
        </w:tc>
      </w:tr>
    </w:tbl>
    <w:p>
      <w:pPr>
        <w:pStyle w:val="IntenseQuote"/>
      </w:pPr>
      <w:r>
        <w:t>These figures are planning estimates, not vendor quotations. VAT is excluded from the decision totals and must be applied only after Jyphra Finance confirms the taxable base, withholding, exemptions and contract structure.</w:t>
      </w:r>
    </w:p>
    <w:p>
      <w:pPr>
        <w:pStyle w:val="Heading1"/>
      </w:pPr>
      <w:r>
        <w:t>2. Binding planning assumptions</w:t>
      </w:r>
    </w:p>
    <w:p>
      <w:pPr>
        <w:pStyle w:val="ListBullet"/>
      </w:pPr>
      <w:r>
        <w:t>Capacity for at least 100,000 registered users at launch, with a path to 500,000 without redesigning the core architecture.</w:t>
      </w:r>
    </w:p>
    <w:p>
      <w:pPr>
        <w:pStyle w:val="ListBullet"/>
      </w:pPr>
      <w:r>
        <w:t>Baseline demand: 20,000 monthly active users, 5,000 daily active users and approximately 1,000 normal-peak concurrent users.</w:t>
      </w:r>
    </w:p>
    <w:p>
      <w:pPr>
        <w:pStyle w:val="ListBullet"/>
      </w:pPr>
      <w:r>
        <w:t>Twelve-to-fifteen-month full Release 1.0 delivery; no documented product feature is intentionally deferred.</w:t>
      </w:r>
    </w:p>
    <w:p>
      <w:pPr>
        <w:pStyle w:val="ListBullet"/>
      </w:pPr>
      <w:r>
        <w:t>Jyphra owns the product, approvals, source repositories, cloud accounts, credentials, intellectual property and acceptance decisions.</w:t>
      </w:r>
    </w:p>
    <w:p>
      <w:pPr>
        <w:pStyle w:val="ListBullet"/>
      </w:pPr>
      <w:r>
        <w:t>A contracted external development agency may supply implementation capacity, but remains governed and accepted by Jyphra.</w:t>
      </w:r>
    </w:p>
    <w:p>
      <w:pPr>
        <w:pStyle w:val="ListBullet"/>
      </w:pPr>
      <w:r>
        <w:t>Business-hours monitoring and user support; severe incidents use an emergency contact path outside hours without a guaranteed 24/7 SLA.</w:t>
      </w:r>
    </w:p>
    <w:p>
      <w:pPr>
        <w:pStyle w:val="ListBullet"/>
      </w:pPr>
      <w:r>
        <w:t>Hybrid cloud: managed services for critical data/identity/storage/backup components and cost-efficient compute or containers for suitable services.</w:t>
      </w:r>
    </w:p>
    <w:p>
      <w:pPr>
        <w:pStyle w:val="ListBullet"/>
      </w:pPr>
      <w:r>
        <w:t>A 15% implementation contingency is held separately. Three-year operating forecasts exclude a second contingency to avoid double counting; Jyphra should reforecast quarterly.</w:t>
      </w:r>
    </w:p>
    <w:p>
      <w:pPr>
        <w:pStyle w:val="ListBullet"/>
      </w:pPr>
      <w:r>
        <w:t>No revenue, subscription, advertising or sponsorship assumptions are included.</w:t>
      </w:r>
    </w:p>
    <w:p>
      <w:pPr>
        <w:pStyle w:val="Heading1"/>
      </w:pPr>
      <w:r>
        <w:t>3. Scale and service targets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088"/>
            <w:shd w:fill="704214"/>
            <w:vAlign w:val="center"/>
          </w:tcPr>
          <w:p>
            <w:r>
              <w:rPr>
                <w:b/>
                <w:color w:val="FFFFFF"/>
              </w:rPr>
              <w:t>Dimension</w:t>
            </w:r>
          </w:p>
        </w:tc>
        <w:tc>
          <w:tcPr>
            <w:tcW w:type="dxa" w:w="2880"/>
            <w:shd w:fill="704214"/>
            <w:vAlign w:val="center"/>
          </w:tcPr>
          <w:p>
            <w:r>
              <w:rPr>
                <w:b/>
                <w:color w:val="FFFFFF"/>
              </w:rPr>
              <w:t>Launch baseline</w:t>
            </w:r>
          </w:p>
        </w:tc>
        <w:tc>
          <w:tcPr>
            <w:tcW w:type="dxa" w:w="4392"/>
            <w:shd w:fill="704214"/>
            <w:vAlign w:val="center"/>
          </w:tcPr>
          <w:p>
            <w:r>
              <w:rPr>
                <w:b/>
                <w:color w:val="FFFFFF"/>
              </w:rPr>
              <w:t>Scale target / control</w:t>
            </w:r>
          </w:p>
        </w:tc>
      </w:tr>
      <w:tr>
        <w:trPr>
          <w:cantSplit/>
        </w:trPr>
        <w:tc>
          <w:tcPr>
            <w:tcW w:type="dxa" w:w="2088"/>
            <w:vAlign w:val="top"/>
          </w:tcPr>
          <w:p>
            <w:r>
              <w:t>Registered users</w:t>
            </w:r>
          </w:p>
        </w:tc>
        <w:tc>
          <w:tcPr>
            <w:tcW w:type="dxa" w:w="2880"/>
            <w:vAlign w:val="top"/>
          </w:tcPr>
          <w:p>
            <w:r>
              <w:t>100,000+</w:t>
            </w:r>
          </w:p>
        </w:tc>
        <w:tc>
          <w:tcPr>
            <w:tcW w:type="dxa" w:w="4392"/>
            <w:vAlign w:val="top"/>
          </w:tcPr>
          <w:p>
            <w:r>
              <w:t>500,000 without core redesign</w:t>
            </w:r>
          </w:p>
        </w:tc>
      </w:tr>
      <w:tr>
        <w:trPr>
          <w:cantSplit/>
        </w:trPr>
        <w:tc>
          <w:tcPr>
            <w:tcW w:type="dxa" w:w="2088"/>
            <w:vAlign w:val="top"/>
          </w:tcPr>
          <w:p>
            <w:r>
              <w:t>Monthly active users</w:t>
            </w:r>
          </w:p>
        </w:tc>
        <w:tc>
          <w:tcPr>
            <w:tcW w:type="dxa" w:w="2880"/>
            <w:vAlign w:val="top"/>
          </w:tcPr>
          <w:p>
            <w:r>
              <w:t>20,000</w:t>
            </w:r>
          </w:p>
        </w:tc>
        <w:tc>
          <w:tcPr>
            <w:tcW w:type="dxa" w:w="4392"/>
            <w:vAlign w:val="top"/>
          </w:tcPr>
          <w:p>
            <w:r>
              <w:t>Autoscale and reforecast above 30,000</w:t>
            </w:r>
          </w:p>
        </w:tc>
      </w:tr>
      <w:tr>
        <w:trPr>
          <w:cantSplit/>
        </w:trPr>
        <w:tc>
          <w:tcPr>
            <w:tcW w:type="dxa" w:w="2088"/>
            <w:vAlign w:val="top"/>
          </w:tcPr>
          <w:p>
            <w:r>
              <w:t>Daily active users</w:t>
            </w:r>
          </w:p>
        </w:tc>
        <w:tc>
          <w:tcPr>
            <w:tcW w:type="dxa" w:w="2880"/>
            <w:vAlign w:val="top"/>
          </w:tcPr>
          <w:p>
            <w:r>
              <w:t>5,000</w:t>
            </w:r>
          </w:p>
        </w:tc>
        <w:tc>
          <w:tcPr>
            <w:tcW w:type="dxa" w:w="4392"/>
            <w:vAlign w:val="top"/>
          </w:tcPr>
          <w:p>
            <w:r>
              <w:t>Load-test seasonal and emergency spikes</w:t>
            </w:r>
          </w:p>
        </w:tc>
      </w:tr>
      <w:tr>
        <w:trPr>
          <w:cantSplit/>
        </w:trPr>
        <w:tc>
          <w:tcPr>
            <w:tcW w:type="dxa" w:w="2088"/>
            <w:vAlign w:val="top"/>
          </w:tcPr>
          <w:p>
            <w:r>
              <w:t>Concurrent users</w:t>
            </w:r>
          </w:p>
        </w:tc>
        <w:tc>
          <w:tcPr>
            <w:tcW w:type="dxa" w:w="2880"/>
            <w:vAlign w:val="top"/>
          </w:tcPr>
          <w:p>
            <w:r>
              <w:t>1,000 normal peak</w:t>
            </w:r>
          </w:p>
        </w:tc>
        <w:tc>
          <w:tcPr>
            <w:tcW w:type="dxa" w:w="4392"/>
            <w:vAlign w:val="top"/>
          </w:tcPr>
          <w:p>
            <w:r>
              <w:t>Burst capacity at least 3× normal peak</w:t>
            </w:r>
          </w:p>
        </w:tc>
      </w:tr>
      <w:tr>
        <w:trPr>
          <w:cantSplit/>
        </w:trPr>
        <w:tc>
          <w:tcPr>
            <w:tcW w:type="dxa" w:w="2088"/>
            <w:vAlign w:val="top"/>
          </w:tcPr>
          <w:p>
            <w:r>
              <w:t>Availability</w:t>
            </w:r>
          </w:p>
        </w:tc>
        <w:tc>
          <w:tcPr>
            <w:tcW w:type="dxa" w:w="2880"/>
            <w:vAlign w:val="top"/>
          </w:tcPr>
          <w:p>
            <w:r>
              <w:t>99.5% minimum service objective</w:t>
            </w:r>
          </w:p>
        </w:tc>
        <w:tc>
          <w:tcPr>
            <w:tcW w:type="dxa" w:w="4392"/>
            <w:vAlign w:val="top"/>
          </w:tcPr>
          <w:p>
            <w:r>
              <w:t>99.9% for enterprise strengthened</w:t>
            </w:r>
          </w:p>
        </w:tc>
      </w:tr>
      <w:tr>
        <w:trPr>
          <w:cantSplit/>
        </w:trPr>
        <w:tc>
          <w:tcPr>
            <w:tcW w:type="dxa" w:w="2088"/>
            <w:vAlign w:val="top"/>
          </w:tcPr>
          <w:p>
            <w:r>
              <w:t>Recovery</w:t>
            </w:r>
          </w:p>
        </w:tc>
        <w:tc>
          <w:tcPr>
            <w:tcW w:type="dxa" w:w="2880"/>
            <w:vAlign w:val="top"/>
          </w:tcPr>
          <w:p>
            <w:r>
              <w:t>Tiered RPO/RTO by system criticality</w:t>
            </w:r>
          </w:p>
        </w:tc>
        <w:tc>
          <w:tcPr>
            <w:tcW w:type="dxa" w:w="4392"/>
            <w:vAlign w:val="top"/>
          </w:tcPr>
          <w:p>
            <w:r>
              <w:t>Restore exercises at least twice yearly</w:t>
            </w:r>
          </w:p>
        </w:tc>
      </w:tr>
      <w:tr>
        <w:trPr>
          <w:cantSplit/>
        </w:trPr>
        <w:tc>
          <w:tcPr>
            <w:tcW w:type="dxa" w:w="2088"/>
            <w:vAlign w:val="top"/>
          </w:tcPr>
          <w:p>
            <w:r>
              <w:t>Environments</w:t>
            </w:r>
          </w:p>
        </w:tc>
        <w:tc>
          <w:tcPr>
            <w:tcW w:type="dxa" w:w="2880"/>
            <w:vAlign w:val="top"/>
          </w:tcPr>
          <w:p>
            <w:r>
              <w:t>Development, test, staging, production</w:t>
            </w:r>
          </w:p>
        </w:tc>
        <w:tc>
          <w:tcPr>
            <w:tcW w:type="dxa" w:w="4392"/>
            <w:vAlign w:val="top"/>
          </w:tcPr>
          <w:p>
            <w:r>
              <w:t>Strict isolation and separate secrets</w:t>
            </w:r>
          </w:p>
        </w:tc>
      </w:tr>
      <w:tr>
        <w:trPr>
          <w:cantSplit/>
        </w:trPr>
        <w:tc>
          <w:tcPr>
            <w:tcW w:type="dxa" w:w="2088"/>
            <w:vAlign w:val="top"/>
          </w:tcPr>
          <w:p>
            <w:r>
              <w:t>Data growth</w:t>
            </w:r>
          </w:p>
        </w:tc>
        <w:tc>
          <w:tcPr>
            <w:tcW w:type="dxa" w:w="2880"/>
            <w:vAlign w:val="top"/>
          </w:tcPr>
          <w:p>
            <w:r>
              <w:t>Usage-measured</w:t>
            </w:r>
          </w:p>
        </w:tc>
        <w:tc>
          <w:tcPr>
            <w:tcW w:type="dxa" w:w="4392"/>
            <w:vAlign w:val="top"/>
          </w:tcPr>
          <w:p>
            <w:r>
              <w:t>Storage lifecycle, compression and archival</w:t>
            </w:r>
          </w:p>
        </w:tc>
      </w:tr>
    </w:tbl>
    <w:p>
      <w:pPr>
        <w:pStyle w:val="Heading1"/>
      </w:pPr>
      <w:r>
        <w:t>4. Staffing model</w:t>
      </w:r>
    </w:p>
    <w:p>
      <w:r>
        <w:t>Staffing is expressed as capability and concurrent full-time-equivalent ranges, not salaries. Jyphra may fill a capability internally, through its managed agency, or with an independent specialist, provided accountability and separation-of-duties controls remain intact.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val="true"/>
        </w:trPr>
        <w:tc>
          <w:tcPr>
            <w:tcW w:type="dxa" w:w="2880"/>
            <w:shd w:fill="704214"/>
            <w:vAlign w:val="center"/>
          </w:tcPr>
          <w:p>
            <w:r>
              <w:rPr>
                <w:b/>
                <w:color w:val="FFFFFF"/>
              </w:rPr>
              <w:t>Capability group</w:t>
            </w:r>
          </w:p>
        </w:tc>
        <w:tc>
          <w:tcPr>
            <w:tcW w:type="dxa" w:w="2448"/>
            <w:shd w:fill="704214"/>
            <w:vAlign w:val="center"/>
          </w:tcPr>
          <w:p>
            <w:r>
              <w:rPr>
                <w:b/>
                <w:color w:val="FFFFFF"/>
              </w:rPr>
              <w:t>Primary sourcing</w:t>
            </w:r>
          </w:p>
        </w:tc>
        <w:tc>
          <w:tcPr>
            <w:tcW w:type="dxa" w:w="1224"/>
            <w:shd w:fill="704214"/>
            <w:vAlign w:val="center"/>
          </w:tcPr>
          <w:p>
            <w:r>
              <w:rPr>
                <w:b/>
                <w:color w:val="FFFFFF"/>
              </w:rPr>
              <w:t>Minimum</w:t>
            </w:r>
          </w:p>
        </w:tc>
        <w:tc>
          <w:tcPr>
            <w:tcW w:type="dxa" w:w="1368"/>
            <w:shd w:fill="704214"/>
            <w:vAlign w:val="center"/>
          </w:tcPr>
          <w:p>
            <w:r>
              <w:rPr>
                <w:b/>
                <w:color w:val="FFFFFF"/>
              </w:rPr>
              <w:t>Recommended</w:t>
            </w:r>
          </w:p>
        </w:tc>
        <w:tc>
          <w:tcPr>
            <w:tcW w:type="dxa" w:w="1440"/>
            <w:shd w:fill="704214"/>
            <w:vAlign w:val="center"/>
          </w:tcPr>
          <w:p>
            <w:r>
              <w:rPr>
                <w:b/>
                <w:color w:val="FFFFFF"/>
              </w:rPr>
              <w:t>Enterprise</w:t>
            </w:r>
          </w:p>
        </w:tc>
      </w:tr>
      <w:tr>
        <w:trPr>
          <w:cantSplit/>
        </w:trPr>
        <w:tc>
          <w:tcPr>
            <w:tcW w:type="dxa" w:w="2880"/>
            <w:vAlign w:val="top"/>
          </w:tcPr>
          <w:p>
            <w:r>
              <w:t>Product, program and analysis</w:t>
            </w:r>
          </w:p>
        </w:tc>
        <w:tc>
          <w:tcPr>
            <w:tcW w:type="dxa" w:w="2448"/>
            <w:vAlign w:val="top"/>
          </w:tcPr>
          <w:p>
            <w:r>
              <w:t>Jyphra-led hybrid</w:t>
            </w:r>
          </w:p>
        </w:tc>
        <w:tc>
          <w:tcPr>
            <w:tcW w:type="dxa" w:w="1224"/>
            <w:vAlign w:val="top"/>
          </w:tcPr>
          <w:p>
            <w:r>
              <w:t>3–5</w:t>
            </w:r>
          </w:p>
        </w:tc>
        <w:tc>
          <w:tcPr>
            <w:tcW w:type="dxa" w:w="1368"/>
            <w:vAlign w:val="top"/>
          </w:tcPr>
          <w:p>
            <w:r>
              <w:t>4–6</w:t>
            </w:r>
          </w:p>
        </w:tc>
        <w:tc>
          <w:tcPr>
            <w:tcW w:type="dxa" w:w="1440"/>
            <w:vAlign w:val="top"/>
          </w:tcPr>
          <w:p>
            <w:r>
              <w:t>6–8</w:t>
            </w:r>
          </w:p>
        </w:tc>
      </w:tr>
      <w:tr>
        <w:trPr>
          <w:cantSplit/>
        </w:trPr>
        <w:tc>
          <w:tcPr>
            <w:tcW w:type="dxa" w:w="2880"/>
            <w:vAlign w:val="top"/>
          </w:tcPr>
          <w:p>
            <w:r>
              <w:t>UX/UI/accessibility</w:t>
            </w:r>
          </w:p>
        </w:tc>
        <w:tc>
          <w:tcPr>
            <w:tcW w:type="dxa" w:w="2448"/>
            <w:vAlign w:val="top"/>
          </w:tcPr>
          <w:p>
            <w:r>
              <w:t>Hybrid</w:t>
            </w:r>
          </w:p>
        </w:tc>
        <w:tc>
          <w:tcPr>
            <w:tcW w:type="dxa" w:w="1224"/>
            <w:vAlign w:val="top"/>
          </w:tcPr>
          <w:p>
            <w:r>
              <w:t>1–2</w:t>
            </w:r>
          </w:p>
        </w:tc>
        <w:tc>
          <w:tcPr>
            <w:tcW w:type="dxa" w:w="1368"/>
            <w:vAlign w:val="top"/>
          </w:tcPr>
          <w:p>
            <w:r>
              <w:t>2–3</w:t>
            </w:r>
          </w:p>
        </w:tc>
        <w:tc>
          <w:tcPr>
            <w:tcW w:type="dxa" w:w="1440"/>
            <w:vAlign w:val="top"/>
          </w:tcPr>
          <w:p>
            <w:r>
              <w:t>3–4</w:t>
            </w:r>
          </w:p>
        </w:tc>
      </w:tr>
      <w:tr>
        <w:trPr>
          <w:cantSplit/>
        </w:trPr>
        <w:tc>
          <w:tcPr>
            <w:tcW w:type="dxa" w:w="2880"/>
            <w:vAlign w:val="top"/>
          </w:tcPr>
          <w:p>
            <w:r>
              <w:t>Mobile engineering</w:t>
            </w:r>
          </w:p>
        </w:tc>
        <w:tc>
          <w:tcPr>
            <w:tcW w:type="dxa" w:w="2448"/>
            <w:vAlign w:val="top"/>
          </w:tcPr>
          <w:p>
            <w:r>
              <w:t>Hybrid</w:t>
            </w:r>
          </w:p>
        </w:tc>
        <w:tc>
          <w:tcPr>
            <w:tcW w:type="dxa" w:w="1224"/>
            <w:vAlign w:val="top"/>
          </w:tcPr>
          <w:p>
            <w:r>
              <w:t>3–4</w:t>
            </w:r>
          </w:p>
        </w:tc>
        <w:tc>
          <w:tcPr>
            <w:tcW w:type="dxa" w:w="1368"/>
            <w:vAlign w:val="top"/>
          </w:tcPr>
          <w:p>
            <w:r>
              <w:t>5–7</w:t>
            </w:r>
          </w:p>
        </w:tc>
        <w:tc>
          <w:tcPr>
            <w:tcW w:type="dxa" w:w="1440"/>
            <w:vAlign w:val="top"/>
          </w:tcPr>
          <w:p>
            <w:r>
              <w:t>7–10</w:t>
            </w:r>
          </w:p>
        </w:tc>
      </w:tr>
      <w:tr>
        <w:trPr>
          <w:cantSplit/>
        </w:trPr>
        <w:tc>
          <w:tcPr>
            <w:tcW w:type="dxa" w:w="2880"/>
            <w:vAlign w:val="top"/>
          </w:tcPr>
          <w:p>
            <w:r>
              <w:t>Backend/admin engineering</w:t>
            </w:r>
          </w:p>
        </w:tc>
        <w:tc>
          <w:tcPr>
            <w:tcW w:type="dxa" w:w="2448"/>
            <w:vAlign w:val="top"/>
          </w:tcPr>
          <w:p>
            <w:r>
              <w:t>Hybrid</w:t>
            </w:r>
          </w:p>
        </w:tc>
        <w:tc>
          <w:tcPr>
            <w:tcW w:type="dxa" w:w="1224"/>
            <w:vAlign w:val="top"/>
          </w:tcPr>
          <w:p>
            <w:r>
              <w:t>4–6</w:t>
            </w:r>
          </w:p>
        </w:tc>
        <w:tc>
          <w:tcPr>
            <w:tcW w:type="dxa" w:w="1368"/>
            <w:vAlign w:val="top"/>
          </w:tcPr>
          <w:p>
            <w:r>
              <w:t>7–10</w:t>
            </w:r>
          </w:p>
        </w:tc>
        <w:tc>
          <w:tcPr>
            <w:tcW w:type="dxa" w:w="1440"/>
            <w:vAlign w:val="top"/>
          </w:tcPr>
          <w:p>
            <w:r>
              <w:t>11–16</w:t>
            </w:r>
          </w:p>
        </w:tc>
      </w:tr>
      <w:tr>
        <w:trPr>
          <w:cantSplit/>
        </w:trPr>
        <w:tc>
          <w:tcPr>
            <w:tcW w:type="dxa" w:w="2880"/>
            <w:vAlign w:val="top"/>
          </w:tcPr>
          <w:p>
            <w:r>
              <w:t>QA and automation</w:t>
            </w:r>
          </w:p>
        </w:tc>
        <w:tc>
          <w:tcPr>
            <w:tcW w:type="dxa" w:w="2448"/>
            <w:vAlign w:val="top"/>
          </w:tcPr>
          <w:p>
            <w:r>
              <w:t>Hybrid / independent</w:t>
            </w:r>
          </w:p>
        </w:tc>
        <w:tc>
          <w:tcPr>
            <w:tcW w:type="dxa" w:w="1224"/>
            <w:vAlign w:val="top"/>
          </w:tcPr>
          <w:p>
            <w:r>
              <w:t>2–3</w:t>
            </w:r>
          </w:p>
        </w:tc>
        <w:tc>
          <w:tcPr>
            <w:tcW w:type="dxa" w:w="1368"/>
            <w:vAlign w:val="top"/>
          </w:tcPr>
          <w:p>
            <w:r>
              <w:t>3–5</w:t>
            </w:r>
          </w:p>
        </w:tc>
        <w:tc>
          <w:tcPr>
            <w:tcW w:type="dxa" w:w="1440"/>
            <w:vAlign w:val="top"/>
          </w:tcPr>
          <w:p>
            <w:r>
              <w:t>5–7</w:t>
            </w:r>
          </w:p>
        </w:tc>
      </w:tr>
      <w:tr>
        <w:trPr>
          <w:cantSplit/>
        </w:trPr>
        <w:tc>
          <w:tcPr>
            <w:tcW w:type="dxa" w:w="2880"/>
            <w:vAlign w:val="top"/>
          </w:tcPr>
          <w:p>
            <w:r>
              <w:t>DevOps, SRE and security</w:t>
            </w:r>
          </w:p>
        </w:tc>
        <w:tc>
          <w:tcPr>
            <w:tcW w:type="dxa" w:w="2448"/>
            <w:vAlign w:val="top"/>
          </w:tcPr>
          <w:p>
            <w:r>
              <w:t>Hybrid / specialist</w:t>
            </w:r>
          </w:p>
        </w:tc>
        <w:tc>
          <w:tcPr>
            <w:tcW w:type="dxa" w:w="1224"/>
            <w:vAlign w:val="top"/>
          </w:tcPr>
          <w:p>
            <w:r>
              <w:t>1–2</w:t>
            </w:r>
          </w:p>
        </w:tc>
        <w:tc>
          <w:tcPr>
            <w:tcW w:type="dxa" w:w="1368"/>
            <w:vAlign w:val="top"/>
          </w:tcPr>
          <w:p>
            <w:r>
              <w:t>2–3</w:t>
            </w:r>
          </w:p>
        </w:tc>
        <w:tc>
          <w:tcPr>
            <w:tcW w:type="dxa" w:w="1440"/>
            <w:vAlign w:val="top"/>
          </w:tcPr>
          <w:p>
            <w:r>
              <w:t>3–5</w:t>
            </w:r>
          </w:p>
        </w:tc>
      </w:tr>
      <w:tr>
        <w:trPr>
          <w:cantSplit/>
        </w:trPr>
        <w:tc>
          <w:tcPr>
            <w:tcW w:type="dxa" w:w="2880"/>
            <w:vAlign w:val="top"/>
          </w:tcPr>
          <w:p>
            <w:r>
              <w:t>Data, genealogy and cultural operations</w:t>
            </w:r>
          </w:p>
        </w:tc>
        <w:tc>
          <w:tcPr>
            <w:tcW w:type="dxa" w:w="2448"/>
            <w:vAlign w:val="top"/>
          </w:tcPr>
          <w:p>
            <w:r>
              <w:t>Jyphra/community-led</w:t>
            </w:r>
          </w:p>
        </w:tc>
        <w:tc>
          <w:tcPr>
            <w:tcW w:type="dxa" w:w="1224"/>
            <w:vAlign w:val="top"/>
          </w:tcPr>
          <w:p>
            <w:r>
              <w:t>4–7</w:t>
            </w:r>
          </w:p>
        </w:tc>
        <w:tc>
          <w:tcPr>
            <w:tcW w:type="dxa" w:w="1368"/>
            <w:vAlign w:val="top"/>
          </w:tcPr>
          <w:p>
            <w:r>
              <w:t>7–12</w:t>
            </w:r>
          </w:p>
        </w:tc>
        <w:tc>
          <w:tcPr>
            <w:tcW w:type="dxa" w:w="1440"/>
            <w:vAlign w:val="top"/>
          </w:tcPr>
          <w:p>
            <w:r>
              <w:t>12–20</w:t>
            </w:r>
          </w:p>
        </w:tc>
      </w:tr>
    </w:tbl>
    <w:p>
      <w:r>
        <w:t>Peak staffing varies by phase. Named governance authorities, cultural approvers and branch verifiers are tracked separately from the software delivery FTE estimate.</w:t>
      </w:r>
    </w:p>
    <w:p>
      <w:pPr>
        <w:pStyle w:val="Heading1"/>
      </w:pPr>
      <w:r>
        <w:t>5. Implementation budget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4032"/>
            <w:shd w:fill="704214"/>
            <w:vAlign w:val="center"/>
          </w:tcPr>
          <w:p>
            <w:r>
              <w:rPr>
                <w:b/>
                <w:color w:val="FFFFFF"/>
              </w:rPr>
              <w:t>Workstream</w:t>
            </w:r>
          </w:p>
        </w:tc>
        <w:tc>
          <w:tcPr>
            <w:tcW w:type="dxa" w:w="1728"/>
            <w:shd w:fill="704214"/>
            <w:vAlign w:val="center"/>
          </w:tcPr>
          <w:p>
            <w:r>
              <w:rPr>
                <w:b/>
                <w:color w:val="FFFFFF"/>
              </w:rPr>
              <w:t>Minimum</w:t>
            </w:r>
          </w:p>
        </w:tc>
        <w:tc>
          <w:tcPr>
            <w:tcW w:type="dxa" w:w="1800"/>
            <w:shd w:fill="704214"/>
            <w:vAlign w:val="center"/>
          </w:tcPr>
          <w:p>
            <w:r>
              <w:rPr>
                <w:b/>
                <w:color w:val="FFFFFF"/>
              </w:rPr>
              <w:t>Recommended</w:t>
            </w:r>
          </w:p>
        </w:tc>
        <w:tc>
          <w:tcPr>
            <w:tcW w:type="dxa" w:w="1800"/>
            <w:shd w:fill="704214"/>
            <w:vAlign w:val="center"/>
          </w:tcPr>
          <w:p>
            <w:r>
              <w:rPr>
                <w:b/>
                <w:color w:val="FFFFFF"/>
              </w:rPr>
              <w:t>Enterprise</w:t>
            </w:r>
          </w:p>
        </w:tc>
      </w:tr>
      <w:tr>
        <w:trPr>
          <w:cantSplit/>
        </w:trPr>
        <w:tc>
          <w:tcPr>
            <w:tcW w:type="dxa" w:w="4032"/>
            <w:vAlign w:val="top"/>
          </w:tcPr>
          <w:p>
            <w:r>
              <w:t>Discovery, governance and business analysis</w:t>
            </w:r>
          </w:p>
        </w:tc>
        <w:tc>
          <w:tcPr>
            <w:tcW w:type="dxa" w:w="1728"/>
            <w:vAlign w:val="top"/>
          </w:tcPr>
          <w:p>
            <w:r>
              <w:t>1.40</w:t>
            </w:r>
          </w:p>
        </w:tc>
        <w:tc>
          <w:tcPr>
            <w:tcW w:type="dxa" w:w="1800"/>
            <w:vAlign w:val="top"/>
          </w:tcPr>
          <w:p>
            <w:r>
              <w:t>2.80</w:t>
            </w:r>
          </w:p>
        </w:tc>
        <w:tc>
          <w:tcPr>
            <w:tcW w:type="dxa" w:w="1800"/>
            <w:vAlign w:val="top"/>
          </w:tcPr>
          <w:p>
            <w:r>
              <w:t>4.50</w:t>
            </w:r>
          </w:p>
        </w:tc>
      </w:tr>
      <w:tr>
        <w:trPr>
          <w:cantSplit/>
        </w:trPr>
        <w:tc>
          <w:tcPr>
            <w:tcW w:type="dxa" w:w="4032"/>
            <w:vAlign w:val="top"/>
          </w:tcPr>
          <w:p>
            <w:r>
              <w:t>UX/UI/accessibility</w:t>
            </w:r>
          </w:p>
        </w:tc>
        <w:tc>
          <w:tcPr>
            <w:tcW w:type="dxa" w:w="1728"/>
            <w:vAlign w:val="top"/>
          </w:tcPr>
          <w:p>
            <w:r>
              <w:t>1.00</w:t>
            </w:r>
          </w:p>
        </w:tc>
        <w:tc>
          <w:tcPr>
            <w:tcW w:type="dxa" w:w="1800"/>
            <w:vAlign w:val="top"/>
          </w:tcPr>
          <w:p>
            <w:r>
              <w:t>2.00</w:t>
            </w:r>
          </w:p>
        </w:tc>
        <w:tc>
          <w:tcPr>
            <w:tcW w:type="dxa" w:w="1800"/>
            <w:vAlign w:val="top"/>
          </w:tcPr>
          <w:p>
            <w:r>
              <w:t>3.20</w:t>
            </w:r>
          </w:p>
        </w:tc>
      </w:tr>
      <w:tr>
        <w:trPr>
          <w:cantSplit/>
        </w:trPr>
        <w:tc>
          <w:tcPr>
            <w:tcW w:type="dxa" w:w="4032"/>
            <w:vAlign w:val="top"/>
          </w:tcPr>
          <w:p>
            <w:r>
              <w:t>Mobile applications</w:t>
            </w:r>
          </w:p>
        </w:tc>
        <w:tc>
          <w:tcPr>
            <w:tcW w:type="dxa" w:w="1728"/>
            <w:vAlign w:val="top"/>
          </w:tcPr>
          <w:p>
            <w:r>
              <w:t>3.40</w:t>
            </w:r>
          </w:p>
        </w:tc>
        <w:tc>
          <w:tcPr>
            <w:tcW w:type="dxa" w:w="1800"/>
            <w:vAlign w:val="top"/>
          </w:tcPr>
          <w:p>
            <w:r>
              <w:t>6.20</w:t>
            </w:r>
          </w:p>
        </w:tc>
        <w:tc>
          <w:tcPr>
            <w:tcW w:type="dxa" w:w="1800"/>
            <w:vAlign w:val="top"/>
          </w:tcPr>
          <w:p>
            <w:r>
              <w:t>9.50</w:t>
            </w:r>
          </w:p>
        </w:tc>
      </w:tr>
      <w:tr>
        <w:trPr>
          <w:cantSplit/>
        </w:trPr>
        <w:tc>
          <w:tcPr>
            <w:tcW w:type="dxa" w:w="4032"/>
            <w:vAlign w:val="top"/>
          </w:tcPr>
          <w:p>
            <w:r>
              <w:t>Backend and integrations</w:t>
            </w:r>
          </w:p>
        </w:tc>
        <w:tc>
          <w:tcPr>
            <w:tcW w:type="dxa" w:w="1728"/>
            <w:vAlign w:val="top"/>
          </w:tcPr>
          <w:p>
            <w:r>
              <w:t>3.60</w:t>
            </w:r>
          </w:p>
        </w:tc>
        <w:tc>
          <w:tcPr>
            <w:tcW w:type="dxa" w:w="1800"/>
            <w:vAlign w:val="top"/>
          </w:tcPr>
          <w:p>
            <w:r>
              <w:t>6.80</w:t>
            </w:r>
          </w:p>
        </w:tc>
        <w:tc>
          <w:tcPr>
            <w:tcW w:type="dxa" w:w="1800"/>
            <w:vAlign w:val="top"/>
          </w:tcPr>
          <w:p>
            <w:r>
              <w:t>10.50</w:t>
            </w:r>
          </w:p>
        </w:tc>
      </w:tr>
      <w:tr>
        <w:trPr>
          <w:cantSplit/>
        </w:trPr>
        <w:tc>
          <w:tcPr>
            <w:tcW w:type="dxa" w:w="4032"/>
            <w:vAlign w:val="top"/>
          </w:tcPr>
          <w:p>
            <w:r>
              <w:t>Admin portal</w:t>
            </w:r>
          </w:p>
        </w:tc>
        <w:tc>
          <w:tcPr>
            <w:tcW w:type="dxa" w:w="1728"/>
            <w:vAlign w:val="top"/>
          </w:tcPr>
          <w:p>
            <w:r>
              <w:t>1.50</w:t>
            </w:r>
          </w:p>
        </w:tc>
        <w:tc>
          <w:tcPr>
            <w:tcW w:type="dxa" w:w="1800"/>
            <w:vAlign w:val="top"/>
          </w:tcPr>
          <w:p>
            <w:r>
              <w:t>2.80</w:t>
            </w:r>
          </w:p>
        </w:tc>
        <w:tc>
          <w:tcPr>
            <w:tcW w:type="dxa" w:w="1800"/>
            <w:vAlign w:val="top"/>
          </w:tcPr>
          <w:p>
            <w:r>
              <w:t>4.50</w:t>
            </w:r>
          </w:p>
        </w:tc>
      </w:tr>
      <w:tr>
        <w:trPr>
          <w:cantSplit/>
        </w:trPr>
        <w:tc>
          <w:tcPr>
            <w:tcW w:type="dxa" w:w="4032"/>
            <w:vAlign w:val="top"/>
          </w:tcPr>
          <w:p>
            <w:r>
              <w:t>Genealogy and cultural-rule framework</w:t>
            </w:r>
          </w:p>
        </w:tc>
        <w:tc>
          <w:tcPr>
            <w:tcW w:type="dxa" w:w="1728"/>
            <w:vAlign w:val="top"/>
          </w:tcPr>
          <w:p>
            <w:r>
              <w:t>1.80</w:t>
            </w:r>
          </w:p>
        </w:tc>
        <w:tc>
          <w:tcPr>
            <w:tcW w:type="dxa" w:w="1800"/>
            <w:vAlign w:val="top"/>
          </w:tcPr>
          <w:p>
            <w:r>
              <w:t>3.60</w:t>
            </w:r>
          </w:p>
        </w:tc>
        <w:tc>
          <w:tcPr>
            <w:tcW w:type="dxa" w:w="1800"/>
            <w:vAlign w:val="top"/>
          </w:tcPr>
          <w:p>
            <w:r>
              <w:t>5.80</w:t>
            </w:r>
          </w:p>
        </w:tc>
      </w:tr>
      <w:tr>
        <w:trPr>
          <w:cantSplit/>
        </w:trPr>
        <w:tc>
          <w:tcPr>
            <w:tcW w:type="dxa" w:w="4032"/>
            <w:vAlign w:val="top"/>
          </w:tcPr>
          <w:p>
            <w:r>
              <w:t>Chat, notifications, media and maps</w:t>
            </w:r>
          </w:p>
        </w:tc>
        <w:tc>
          <w:tcPr>
            <w:tcW w:type="dxa" w:w="1728"/>
            <w:vAlign w:val="top"/>
          </w:tcPr>
          <w:p>
            <w:r>
              <w:t>1.40</w:t>
            </w:r>
          </w:p>
        </w:tc>
        <w:tc>
          <w:tcPr>
            <w:tcW w:type="dxa" w:w="1800"/>
            <w:vAlign w:val="top"/>
          </w:tcPr>
          <w:p>
            <w:r>
              <w:t>2.80</w:t>
            </w:r>
          </w:p>
        </w:tc>
        <w:tc>
          <w:tcPr>
            <w:tcW w:type="dxa" w:w="1800"/>
            <w:vAlign w:val="top"/>
          </w:tcPr>
          <w:p>
            <w:r>
              <w:t>4.80</w:t>
            </w:r>
          </w:p>
        </w:tc>
      </w:tr>
      <w:tr>
        <w:trPr>
          <w:cantSplit/>
        </w:trPr>
        <w:tc>
          <w:tcPr>
            <w:tcW w:type="dxa" w:w="4032"/>
            <w:vAlign w:val="top"/>
          </w:tcPr>
          <w:p>
            <w:r>
              <w:t>QA, performance and UAT</w:t>
            </w:r>
          </w:p>
        </w:tc>
        <w:tc>
          <w:tcPr>
            <w:tcW w:type="dxa" w:w="1728"/>
            <w:vAlign w:val="top"/>
          </w:tcPr>
          <w:p>
            <w:r>
              <w:t>1.50</w:t>
            </w:r>
          </w:p>
        </w:tc>
        <w:tc>
          <w:tcPr>
            <w:tcW w:type="dxa" w:w="1800"/>
            <w:vAlign w:val="top"/>
          </w:tcPr>
          <w:p>
            <w:r>
              <w:t>3.20</w:t>
            </w:r>
          </w:p>
        </w:tc>
        <w:tc>
          <w:tcPr>
            <w:tcW w:type="dxa" w:w="1800"/>
            <w:vAlign w:val="top"/>
          </w:tcPr>
          <w:p>
            <w:r>
              <w:t>5.20</w:t>
            </w:r>
          </w:p>
        </w:tc>
      </w:tr>
      <w:tr>
        <w:trPr>
          <w:cantSplit/>
        </w:trPr>
        <w:tc>
          <w:tcPr>
            <w:tcW w:type="dxa" w:w="4032"/>
            <w:vAlign w:val="top"/>
          </w:tcPr>
          <w:p>
            <w:r>
              <w:t>Security and privacy assurance</w:t>
            </w:r>
          </w:p>
        </w:tc>
        <w:tc>
          <w:tcPr>
            <w:tcW w:type="dxa" w:w="1728"/>
            <w:vAlign w:val="top"/>
          </w:tcPr>
          <w:p>
            <w:r>
              <w:t>0.80</w:t>
            </w:r>
          </w:p>
        </w:tc>
        <w:tc>
          <w:tcPr>
            <w:tcW w:type="dxa" w:w="1800"/>
            <w:vAlign w:val="top"/>
          </w:tcPr>
          <w:p>
            <w:r>
              <w:t>2.00</w:t>
            </w:r>
          </w:p>
        </w:tc>
        <w:tc>
          <w:tcPr>
            <w:tcW w:type="dxa" w:w="1800"/>
            <w:vAlign w:val="top"/>
          </w:tcPr>
          <w:p>
            <w:r>
              <w:t>3.80</w:t>
            </w:r>
          </w:p>
        </w:tc>
      </w:tr>
      <w:tr>
        <w:trPr>
          <w:cantSplit/>
        </w:trPr>
        <w:tc>
          <w:tcPr>
            <w:tcW w:type="dxa" w:w="4032"/>
            <w:vAlign w:val="top"/>
          </w:tcPr>
          <w:p>
            <w:r>
              <w:t>DevOps and environments</w:t>
            </w:r>
          </w:p>
        </w:tc>
        <w:tc>
          <w:tcPr>
            <w:tcW w:type="dxa" w:w="1728"/>
            <w:vAlign w:val="top"/>
          </w:tcPr>
          <w:p>
            <w:r>
              <w:t>0.90</w:t>
            </w:r>
          </w:p>
        </w:tc>
        <w:tc>
          <w:tcPr>
            <w:tcW w:type="dxa" w:w="1800"/>
            <w:vAlign w:val="top"/>
          </w:tcPr>
          <w:p>
            <w:r>
              <w:t>1.80</w:t>
            </w:r>
          </w:p>
        </w:tc>
        <w:tc>
          <w:tcPr>
            <w:tcW w:type="dxa" w:w="1800"/>
            <w:vAlign w:val="top"/>
          </w:tcPr>
          <w:p>
            <w:r>
              <w:t>3.00</w:t>
            </w:r>
          </w:p>
        </w:tc>
      </w:tr>
      <w:tr>
        <w:trPr>
          <w:cantSplit/>
        </w:trPr>
        <w:tc>
          <w:tcPr>
            <w:tcW w:type="dxa" w:w="4032"/>
            <w:vAlign w:val="top"/>
          </w:tcPr>
          <w:p>
            <w:r>
              <w:t>Migration tooling and pilot</w:t>
            </w:r>
          </w:p>
        </w:tc>
        <w:tc>
          <w:tcPr>
            <w:tcW w:type="dxa" w:w="1728"/>
            <w:vAlign w:val="top"/>
          </w:tcPr>
          <w:p>
            <w:r>
              <w:t>1.00</w:t>
            </w:r>
          </w:p>
        </w:tc>
        <w:tc>
          <w:tcPr>
            <w:tcW w:type="dxa" w:w="1800"/>
            <w:vAlign w:val="top"/>
          </w:tcPr>
          <w:p>
            <w:r>
              <w:t>2.20</w:t>
            </w:r>
          </w:p>
        </w:tc>
        <w:tc>
          <w:tcPr>
            <w:tcW w:type="dxa" w:w="1800"/>
            <w:vAlign w:val="top"/>
          </w:tcPr>
          <w:p>
            <w:r>
              <w:t>3.80</w:t>
            </w:r>
          </w:p>
        </w:tc>
      </w:tr>
      <w:tr>
        <w:trPr>
          <w:cantSplit/>
        </w:trPr>
        <w:tc>
          <w:tcPr>
            <w:tcW w:type="dxa" w:w="4032"/>
            <w:vAlign w:val="top"/>
          </w:tcPr>
          <w:p>
            <w:r>
              <w:t>Training, launch and stabilization</w:t>
            </w:r>
          </w:p>
        </w:tc>
        <w:tc>
          <w:tcPr>
            <w:tcW w:type="dxa" w:w="1728"/>
            <w:vAlign w:val="top"/>
          </w:tcPr>
          <w:p>
            <w:r>
              <w:t>0.70</w:t>
            </w:r>
          </w:p>
        </w:tc>
        <w:tc>
          <w:tcPr>
            <w:tcW w:type="dxa" w:w="1800"/>
            <w:vAlign w:val="top"/>
          </w:tcPr>
          <w:p>
            <w:r>
              <w:t>1.50</w:t>
            </w:r>
          </w:p>
        </w:tc>
        <w:tc>
          <w:tcPr>
            <w:tcW w:type="dxa" w:w="1800"/>
            <w:vAlign w:val="top"/>
          </w:tcPr>
          <w:p>
            <w:r>
              <w:t>2.50</w:t>
            </w:r>
          </w:p>
        </w:tc>
      </w:tr>
      <w:tr>
        <w:trPr>
          <w:cantSplit/>
        </w:trPr>
        <w:tc>
          <w:tcPr>
            <w:tcW w:type="dxa" w:w="4032"/>
            <w:vAlign w:val="top"/>
          </w:tcPr>
          <w:p>
            <w:r>
              <w:t>Subtotal</w:t>
            </w:r>
          </w:p>
        </w:tc>
        <w:tc>
          <w:tcPr>
            <w:tcW w:type="dxa" w:w="1728"/>
            <w:vAlign w:val="top"/>
          </w:tcPr>
          <w:p>
            <w:r>
              <w:t>19.00</w:t>
            </w:r>
          </w:p>
        </w:tc>
        <w:tc>
          <w:tcPr>
            <w:tcW w:type="dxa" w:w="1800"/>
            <w:vAlign w:val="top"/>
          </w:tcPr>
          <w:p>
            <w:r>
              <w:t>37.70</w:t>
            </w:r>
          </w:p>
        </w:tc>
        <w:tc>
          <w:tcPr>
            <w:tcW w:type="dxa" w:w="1800"/>
            <w:vAlign w:val="top"/>
          </w:tcPr>
          <w:p>
            <w:r>
              <w:t>61.10</w:t>
            </w:r>
          </w:p>
        </w:tc>
      </w:tr>
      <w:tr>
        <w:trPr>
          <w:cantSplit/>
        </w:trPr>
        <w:tc>
          <w:tcPr>
            <w:tcW w:type="dxa" w:w="4032"/>
            <w:vAlign w:val="top"/>
          </w:tcPr>
          <w:p>
            <w:r>
              <w:t>15% contingency</w:t>
            </w:r>
          </w:p>
        </w:tc>
        <w:tc>
          <w:tcPr>
            <w:tcW w:type="dxa" w:w="1728"/>
            <w:vAlign w:val="top"/>
          </w:tcPr>
          <w:p>
            <w:r>
              <w:t>2.85</w:t>
            </w:r>
          </w:p>
        </w:tc>
        <w:tc>
          <w:tcPr>
            <w:tcW w:type="dxa" w:w="1800"/>
            <w:vAlign w:val="top"/>
          </w:tcPr>
          <w:p>
            <w:r>
              <w:t>5.66</w:t>
            </w:r>
          </w:p>
        </w:tc>
        <w:tc>
          <w:tcPr>
            <w:tcW w:type="dxa" w:w="1800"/>
            <w:vAlign w:val="top"/>
          </w:tcPr>
          <w:p>
            <w:r>
              <w:t>9.17</w:t>
            </w:r>
          </w:p>
        </w:tc>
      </w:tr>
      <w:tr>
        <w:trPr>
          <w:cantSplit/>
        </w:trPr>
        <w:tc>
          <w:tcPr>
            <w:tcW w:type="dxa" w:w="4032"/>
            <w:vAlign w:val="top"/>
          </w:tcPr>
          <w:p>
            <w:r>
              <w:t>Total excl. VAT</w:t>
            </w:r>
          </w:p>
        </w:tc>
        <w:tc>
          <w:tcPr>
            <w:tcW w:type="dxa" w:w="1728"/>
            <w:vAlign w:val="top"/>
          </w:tcPr>
          <w:p>
            <w:r>
              <w:t>21.85</w:t>
            </w:r>
          </w:p>
        </w:tc>
        <w:tc>
          <w:tcPr>
            <w:tcW w:type="dxa" w:w="1800"/>
            <w:vAlign w:val="top"/>
          </w:tcPr>
          <w:p>
            <w:r>
              <w:t>43.36</w:t>
            </w:r>
          </w:p>
        </w:tc>
        <w:tc>
          <w:tcPr>
            <w:tcW w:type="dxa" w:w="1800"/>
            <w:vAlign w:val="top"/>
          </w:tcPr>
          <w:p>
            <w:r>
              <w:t>70.27</w:t>
            </w:r>
          </w:p>
        </w:tc>
      </w:tr>
    </w:tbl>
    <w:p>
      <w:pPr>
        <w:pStyle w:val="Caption"/>
      </w:pPr>
      <w:r>
        <w:t>Amounts are NPR millions. Apparent rounding differences may occur because the spreadsheet model retains two decimals.</w:t>
      </w:r>
    </w:p>
    <w:p>
      <w:pPr>
        <w:pStyle w:val="Heading1"/>
      </w:pPr>
      <w:r>
        <w:t>6. Three-year operating costs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val="true"/>
        </w:trPr>
        <w:tc>
          <w:tcPr>
            <w:tcW w:type="dxa" w:w="2376"/>
            <w:shd w:fill="704214"/>
            <w:vAlign w:val="center"/>
          </w:tcPr>
          <w:p>
            <w:r>
              <w:rPr>
                <w:b/>
                <w:color w:val="FFFFFF"/>
              </w:rPr>
              <w:t>Scenario</w:t>
            </w:r>
          </w:p>
        </w:tc>
        <w:tc>
          <w:tcPr>
            <w:tcW w:type="dxa" w:w="1656"/>
            <w:shd w:fill="704214"/>
            <w:vAlign w:val="center"/>
          </w:tcPr>
          <w:p>
            <w:r>
              <w:rPr>
                <w:b/>
                <w:color w:val="FFFFFF"/>
              </w:rPr>
              <w:t>Year 1</w:t>
            </w:r>
          </w:p>
        </w:tc>
        <w:tc>
          <w:tcPr>
            <w:tcW w:type="dxa" w:w="1656"/>
            <w:shd w:fill="704214"/>
            <w:vAlign w:val="center"/>
          </w:tcPr>
          <w:p>
            <w:r>
              <w:rPr>
                <w:b/>
                <w:color w:val="FFFFFF"/>
              </w:rPr>
              <w:t>Year 2</w:t>
            </w:r>
          </w:p>
        </w:tc>
        <w:tc>
          <w:tcPr>
            <w:tcW w:type="dxa" w:w="1656"/>
            <w:shd w:fill="704214"/>
            <w:vAlign w:val="center"/>
          </w:tcPr>
          <w:p>
            <w:r>
              <w:rPr>
                <w:b/>
                <w:color w:val="FFFFFF"/>
              </w:rPr>
              <w:t>Year 3</w:t>
            </w:r>
          </w:p>
        </w:tc>
        <w:tc>
          <w:tcPr>
            <w:tcW w:type="dxa" w:w="2016"/>
            <w:shd w:fill="704214"/>
            <w:vAlign w:val="center"/>
          </w:tcPr>
          <w:p>
            <w:r>
              <w:rPr>
                <w:b/>
                <w:color w:val="FFFFFF"/>
              </w:rPr>
              <w:t>Three-year total</w:t>
            </w:r>
          </w:p>
        </w:tc>
      </w:tr>
      <w:tr>
        <w:trPr>
          <w:cantSplit/>
        </w:trPr>
        <w:tc>
          <w:tcPr>
            <w:tcW w:type="dxa" w:w="2376"/>
            <w:vAlign w:val="top"/>
          </w:tcPr>
          <w:p>
            <w:r>
              <w:t>Minimum professional</w:t>
            </w:r>
          </w:p>
        </w:tc>
        <w:tc>
          <w:tcPr>
            <w:tcW w:type="dxa" w:w="1656"/>
            <w:vAlign w:val="top"/>
          </w:tcPr>
          <w:p>
            <w:r>
              <w:t>7.8</w:t>
            </w:r>
          </w:p>
        </w:tc>
        <w:tc>
          <w:tcPr>
            <w:tcW w:type="dxa" w:w="1656"/>
            <w:vAlign w:val="top"/>
          </w:tcPr>
          <w:p>
            <w:r>
              <w:t>9.6</w:t>
            </w:r>
          </w:p>
        </w:tc>
        <w:tc>
          <w:tcPr>
            <w:tcW w:type="dxa" w:w="1656"/>
            <w:vAlign w:val="top"/>
          </w:tcPr>
          <w:p>
            <w:r>
              <w:t>11.6</w:t>
            </w:r>
          </w:p>
        </w:tc>
        <w:tc>
          <w:tcPr>
            <w:tcW w:type="dxa" w:w="2016"/>
            <w:vAlign w:val="top"/>
          </w:tcPr>
          <w:p>
            <w:r>
              <w:t>29.0</w:t>
            </w:r>
          </w:p>
        </w:tc>
      </w:tr>
      <w:tr>
        <w:trPr>
          <w:cantSplit/>
        </w:trPr>
        <w:tc>
          <w:tcPr>
            <w:tcW w:type="dxa" w:w="2376"/>
            <w:vAlign w:val="top"/>
          </w:tcPr>
          <w:p>
            <w:r>
              <w:t>Recommended baseline</w:t>
            </w:r>
          </w:p>
        </w:tc>
        <w:tc>
          <w:tcPr>
            <w:tcW w:type="dxa" w:w="1656"/>
            <w:vAlign w:val="top"/>
          </w:tcPr>
          <w:p>
            <w:r>
              <w:t>16.0</w:t>
            </w:r>
          </w:p>
        </w:tc>
        <w:tc>
          <w:tcPr>
            <w:tcW w:type="dxa" w:w="1656"/>
            <w:vAlign w:val="top"/>
          </w:tcPr>
          <w:p>
            <w:r>
              <w:t>19.3</w:t>
            </w:r>
          </w:p>
        </w:tc>
        <w:tc>
          <w:tcPr>
            <w:tcW w:type="dxa" w:w="1656"/>
            <w:vAlign w:val="top"/>
          </w:tcPr>
          <w:p>
            <w:r>
              <w:t>23.5</w:t>
            </w:r>
          </w:p>
        </w:tc>
        <w:tc>
          <w:tcPr>
            <w:tcW w:type="dxa" w:w="2016"/>
            <w:vAlign w:val="top"/>
          </w:tcPr>
          <w:p>
            <w:r>
              <w:t>58.8</w:t>
            </w:r>
          </w:p>
        </w:tc>
      </w:tr>
      <w:tr>
        <w:trPr>
          <w:cantSplit/>
        </w:trPr>
        <w:tc>
          <w:tcPr>
            <w:tcW w:type="dxa" w:w="2376"/>
            <w:vAlign w:val="top"/>
          </w:tcPr>
          <w:p>
            <w:r>
              <w:t>Enterprise strengthened</w:t>
            </w:r>
          </w:p>
        </w:tc>
        <w:tc>
          <w:tcPr>
            <w:tcW w:type="dxa" w:w="1656"/>
            <w:vAlign w:val="top"/>
          </w:tcPr>
          <w:p>
            <w:r>
              <w:t>28.6</w:t>
            </w:r>
          </w:p>
        </w:tc>
        <w:tc>
          <w:tcPr>
            <w:tcW w:type="dxa" w:w="1656"/>
            <w:vAlign w:val="top"/>
          </w:tcPr>
          <w:p>
            <w:r>
              <w:t>34.5</w:t>
            </w:r>
          </w:p>
        </w:tc>
        <w:tc>
          <w:tcPr>
            <w:tcW w:type="dxa" w:w="1656"/>
            <w:vAlign w:val="top"/>
          </w:tcPr>
          <w:p>
            <w:r>
              <w:t>42.1</w:t>
            </w:r>
          </w:p>
        </w:tc>
        <w:tc>
          <w:tcPr>
            <w:tcW w:type="dxa" w:w="2016"/>
            <w:vAlign w:val="top"/>
          </w:tcPr>
          <w:p>
            <w:r>
              <w:t>105.2</w:t>
            </w:r>
          </w:p>
        </w:tc>
      </w:tr>
    </w:tbl>
    <w:p>
      <w:r>
        <w:t>Operating costs cover cloud and managed services, storage and backup, OTP/notifications/maps, maintenance, business-hours support, monitoring/security, content and genealogy operations, licences and training. The auditable workbook is authoritative for detailed calculations; this report summarizes rounded planning values.</w:t>
      </w:r>
    </w:p>
    <w:p>
      <w:pPr>
        <w:pStyle w:val="Heading1"/>
      </w:pPr>
      <w:r>
        <w:t>7. Scenario interpretation</w:t>
      </w:r>
    </w:p>
    <w:p>
      <w:pPr>
        <w:pStyle w:val="Heading2"/>
      </w:pPr>
      <w:r>
        <w:t>7.1 Minimum professional</w:t>
      </w:r>
    </w:p>
    <w:p>
      <w:r>
        <w:t>Suitable only if funding is constrained and Jyphra accepts slower delivery, smaller device coverage, limited parallelism, narrower independent assurance and greater dependency on carefully controlled rollout. It must not reduce privacy, audit, backup or core security controls.</w:t>
      </w:r>
    </w:p>
    <w:p>
      <w:pPr>
        <w:pStyle w:val="Heading2"/>
      </w:pPr>
      <w:r>
        <w:t>7.2 Recommended production-grade</w:t>
      </w:r>
    </w:p>
    <w:p>
      <w:r>
        <w:t>The approved planning baseline. It provides sufficient delivery capacity for the full Release 1.0 scope, structured migration, automated testing, independent security work, multi-environment deployment and sustainable business-hours operations for the initial 100,000-user target.</w:t>
      </w:r>
    </w:p>
    <w:p>
      <w:pPr>
        <w:pStyle w:val="Heading2"/>
      </w:pPr>
      <w:r>
        <w:t>7.3 Enterprise strengthened</w:t>
      </w:r>
    </w:p>
    <w:p>
      <w:r>
        <w:t>Adds delivery parallelism, stronger high-availability engineering, broader device and performance assurance, deeper operational coverage and additional data/community operations. Select this scenario if launch commitments, geographic rollout or public visibility make reduced delivery risk more valuable than the additional cost.</w:t>
      </w:r>
    </w:p>
    <w:p>
      <w:pPr>
        <w:pStyle w:val="Heading1"/>
      </w:pPr>
      <w:r>
        <w:t>8. Funding and procurement controls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592"/>
            <w:shd w:fill="704214"/>
            <w:vAlign w:val="center"/>
          </w:tcPr>
          <w:p>
            <w:r>
              <w:rPr>
                <w:b/>
                <w:color w:val="FFFFFF"/>
              </w:rPr>
              <w:t>Gate</w:t>
            </w:r>
          </w:p>
        </w:tc>
        <w:tc>
          <w:tcPr>
            <w:tcW w:type="dxa" w:w="1440"/>
            <w:shd w:fill="704214"/>
            <w:vAlign w:val="center"/>
          </w:tcPr>
          <w:p>
            <w:r>
              <w:rPr>
                <w:b/>
                <w:color w:val="FFFFFF"/>
              </w:rPr>
              <w:t>Share</w:t>
            </w:r>
          </w:p>
        </w:tc>
        <w:tc>
          <w:tcPr>
            <w:tcW w:type="dxa" w:w="5328"/>
            <w:shd w:fill="704214"/>
            <w:vAlign w:val="center"/>
          </w:tcPr>
          <w:p>
            <w:r>
              <w:rPr>
                <w:b/>
                <w:color w:val="FFFFFF"/>
              </w:rPr>
              <w:t>Release evidence</w:t>
            </w:r>
          </w:p>
        </w:tc>
      </w:tr>
      <w:tr>
        <w:trPr>
          <w:cantSplit/>
        </w:trPr>
        <w:tc>
          <w:tcPr>
            <w:tcW w:type="dxa" w:w="2592"/>
            <w:vAlign w:val="top"/>
          </w:tcPr>
          <w:p>
            <w:r>
              <w:t>G0 Mobilization</w:t>
            </w:r>
          </w:p>
        </w:tc>
        <w:tc>
          <w:tcPr>
            <w:tcW w:type="dxa" w:w="1440"/>
            <w:vAlign w:val="top"/>
          </w:tcPr>
          <w:p>
            <w:r>
              <w:t>10%</w:t>
            </w:r>
          </w:p>
        </w:tc>
        <w:tc>
          <w:tcPr>
            <w:tcW w:type="dxa" w:w="5328"/>
            <w:vAlign w:val="top"/>
          </w:tcPr>
          <w:p>
            <w:r>
              <w:t>Charter, governance, validated backlog and procurement plan</w:t>
            </w:r>
          </w:p>
        </w:tc>
      </w:tr>
      <w:tr>
        <w:trPr>
          <w:cantSplit/>
        </w:trPr>
        <w:tc>
          <w:tcPr>
            <w:tcW w:type="dxa" w:w="2592"/>
            <w:vAlign w:val="top"/>
          </w:tcPr>
          <w:p>
            <w:r>
              <w:t>G1 Design/foundation</w:t>
            </w:r>
          </w:p>
        </w:tc>
        <w:tc>
          <w:tcPr>
            <w:tcW w:type="dxa" w:w="1440"/>
            <w:vAlign w:val="top"/>
          </w:tcPr>
          <w:p>
            <w:r>
              <w:t>15%</w:t>
            </w:r>
          </w:p>
        </w:tc>
        <w:tc>
          <w:tcPr>
            <w:tcW w:type="dxa" w:w="5328"/>
            <w:vAlign w:val="top"/>
          </w:tcPr>
          <w:p>
            <w:r>
              <w:t>Approved prototype, architecture, threat model, environments and CI/CD</w:t>
            </w:r>
          </w:p>
        </w:tc>
      </w:tr>
      <w:tr>
        <w:trPr>
          <w:cantSplit/>
        </w:trPr>
        <w:tc>
          <w:tcPr>
            <w:tcW w:type="dxa" w:w="2592"/>
            <w:vAlign w:val="top"/>
          </w:tcPr>
          <w:p>
            <w:r>
              <w:t>G2 Core identity/genealogy</w:t>
            </w:r>
          </w:p>
        </w:tc>
        <w:tc>
          <w:tcPr>
            <w:tcW w:type="dxa" w:w="1440"/>
            <w:vAlign w:val="top"/>
          </w:tcPr>
          <w:p>
            <w:r>
              <w:t>25%</w:t>
            </w:r>
          </w:p>
        </w:tc>
        <w:tc>
          <w:tcPr>
            <w:tcW w:type="dxa" w:w="5328"/>
            <w:vAlign w:val="top"/>
          </w:tcPr>
          <w:p>
            <w:r>
              <w:t>Demonstrated core workflows, audit controls and migration pilot</w:t>
            </w:r>
          </w:p>
        </w:tc>
      </w:tr>
      <w:tr>
        <w:trPr>
          <w:cantSplit/>
        </w:trPr>
        <w:tc>
          <w:tcPr>
            <w:tcW w:type="dxa" w:w="2592"/>
            <w:vAlign w:val="top"/>
          </w:tcPr>
          <w:p>
            <w:r>
              <w:t>G3 Community/admin</w:t>
            </w:r>
          </w:p>
        </w:tc>
        <w:tc>
          <w:tcPr>
            <w:tcW w:type="dxa" w:w="1440"/>
            <w:vAlign w:val="top"/>
          </w:tcPr>
          <w:p>
            <w:r>
              <w:t>25%</w:t>
            </w:r>
          </w:p>
        </w:tc>
        <w:tc>
          <w:tcPr>
            <w:tcW w:type="dxa" w:w="5328"/>
            <w:vAlign w:val="top"/>
          </w:tcPr>
          <w:p>
            <w:r>
              <w:t>Feature-complete test build and operational controls</w:t>
            </w:r>
          </w:p>
        </w:tc>
      </w:tr>
      <w:tr>
        <w:trPr>
          <w:cantSplit/>
        </w:trPr>
        <w:tc>
          <w:tcPr>
            <w:tcW w:type="dxa" w:w="2592"/>
            <w:vAlign w:val="top"/>
          </w:tcPr>
          <w:p>
            <w:r>
              <w:t>G4 Hardening/UAT</w:t>
            </w:r>
          </w:p>
        </w:tc>
        <w:tc>
          <w:tcPr>
            <w:tcW w:type="dxa" w:w="1440"/>
            <w:vAlign w:val="top"/>
          </w:tcPr>
          <w:p>
            <w:r>
              <w:t>15%</w:t>
            </w:r>
          </w:p>
        </w:tc>
        <w:tc>
          <w:tcPr>
            <w:tcW w:type="dxa" w:w="5328"/>
            <w:vAlign w:val="top"/>
          </w:tcPr>
          <w:p>
            <w:r>
              <w:t>Security and performance evidence, UAT acceptance and store package</w:t>
            </w:r>
          </w:p>
        </w:tc>
      </w:tr>
      <w:tr>
        <w:trPr>
          <w:cantSplit/>
        </w:trPr>
        <w:tc>
          <w:tcPr>
            <w:tcW w:type="dxa" w:w="2592"/>
            <w:vAlign w:val="top"/>
          </w:tcPr>
          <w:p>
            <w:r>
              <w:t>G5 Launch/stabilization</w:t>
            </w:r>
          </w:p>
        </w:tc>
        <w:tc>
          <w:tcPr>
            <w:tcW w:type="dxa" w:w="1440"/>
            <w:vAlign w:val="top"/>
          </w:tcPr>
          <w:p>
            <w:r>
              <w:t>10%</w:t>
            </w:r>
          </w:p>
        </w:tc>
        <w:tc>
          <w:tcPr>
            <w:tcW w:type="dxa" w:w="5328"/>
            <w:vAlign w:val="top"/>
          </w:tcPr>
          <w:p>
            <w:r>
              <w:t>Production launch, monitoring, handover and warranty entry</w:t>
            </w:r>
          </w:p>
        </w:tc>
      </w:tr>
    </w:tbl>
    <w:p>
      <w:pPr>
        <w:pStyle w:val="ListBullet"/>
      </w:pPr>
      <w:r>
        <w:t>Tie supplier payments to accepted evidence, not elapsed time alone.</w:t>
      </w:r>
    </w:p>
    <w:p>
      <w:pPr>
        <w:pStyle w:val="ListBullet"/>
      </w:pPr>
      <w:r>
        <w:t>Keep source code, infrastructure-as-code, design files, credentials and documentation in Jyphra-controlled systems from the first sprint.</w:t>
      </w:r>
    </w:p>
    <w:p>
      <w:pPr>
        <w:pStyle w:val="ListBullet"/>
      </w:pPr>
      <w:r>
        <w:t>Require transparent change requests with scope, schedule, cost, risk and acceptance impact.</w:t>
      </w:r>
    </w:p>
    <w:p>
      <w:pPr>
        <w:pStyle w:val="ListBullet"/>
      </w:pPr>
      <w:r>
        <w:t>Obtain at least comparable commercial quotations for major outsourced work and recurring vendors.</w:t>
      </w:r>
    </w:p>
    <w:p>
      <w:pPr>
        <w:pStyle w:val="ListBullet"/>
      </w:pPr>
      <w:r>
        <w:t>Set cloud budget alerts, OTP abuse limits, storage lifecycle rules and monthly unit-cost reporting.</w:t>
      </w:r>
    </w:p>
    <w:p>
      <w:pPr>
        <w:pStyle w:val="ListBullet"/>
      </w:pPr>
      <w:r>
        <w:t>Reforecast at architecture approval, feature-complete build, UAT entry, launch and quarterly after launch.</w:t>
      </w:r>
    </w:p>
    <w:p>
      <w:pPr>
        <w:pStyle w:val="Heading1"/>
      </w:pPr>
      <w:r>
        <w:t>9. Cost risks and responses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376"/>
            <w:shd w:fill="704214"/>
            <w:vAlign w:val="center"/>
          </w:tcPr>
          <w:p>
            <w:r>
              <w:rPr>
                <w:b/>
                <w:color w:val="FFFFFF"/>
              </w:rPr>
              <w:t>Risk</w:t>
            </w:r>
          </w:p>
        </w:tc>
        <w:tc>
          <w:tcPr>
            <w:tcW w:type="dxa" w:w="3024"/>
            <w:shd w:fill="704214"/>
            <w:vAlign w:val="center"/>
          </w:tcPr>
          <w:p>
            <w:r>
              <w:rPr>
                <w:b/>
                <w:color w:val="FFFFFF"/>
              </w:rPr>
              <w:t>Potential effect</w:t>
            </w:r>
          </w:p>
        </w:tc>
        <w:tc>
          <w:tcPr>
            <w:tcW w:type="dxa" w:w="3960"/>
            <w:shd w:fill="704214"/>
            <w:vAlign w:val="center"/>
          </w:tcPr>
          <w:p>
            <w:r>
              <w:rPr>
                <w:b/>
                <w:color w:val="FFFFFF"/>
              </w:rPr>
              <w:t>Required response</w:t>
            </w:r>
          </w:p>
        </w:tc>
      </w:tr>
      <w:tr>
        <w:trPr>
          <w:cantSplit/>
        </w:trPr>
        <w:tc>
          <w:tcPr>
            <w:tcW w:type="dxa" w:w="2376"/>
            <w:vAlign w:val="top"/>
          </w:tcPr>
          <w:p>
            <w:r>
              <w:t>Incomplete genealogy data</w:t>
            </w:r>
          </w:p>
        </w:tc>
        <w:tc>
          <w:tcPr>
            <w:tcW w:type="dxa" w:w="3024"/>
            <w:vAlign w:val="top"/>
          </w:tcPr>
          <w:p>
            <w:r>
              <w:t>Migration rework and delayed verification</w:t>
            </w:r>
          </w:p>
        </w:tc>
        <w:tc>
          <w:tcPr>
            <w:tcW w:type="dxa" w:w="3960"/>
            <w:vAlign w:val="top"/>
          </w:tcPr>
          <w:p>
            <w:r>
              <w:t>Pilot early; price bulk cleansing separately after inventory</w:t>
            </w:r>
          </w:p>
        </w:tc>
      </w:tr>
      <w:tr>
        <w:trPr>
          <w:cantSplit/>
        </w:trPr>
        <w:tc>
          <w:tcPr>
            <w:tcW w:type="dxa" w:w="2376"/>
            <w:vAlign w:val="top"/>
          </w:tcPr>
          <w:p>
            <w:r>
              <w:t>Unapproved cultural rules</w:t>
            </w:r>
          </w:p>
        </w:tc>
        <w:tc>
          <w:tcPr>
            <w:tcW w:type="dxa" w:w="3024"/>
            <w:vAlign w:val="top"/>
          </w:tcPr>
          <w:p>
            <w:r>
              <w:t>Blocked Nata/Saino or ritual outputs</w:t>
            </w:r>
          </w:p>
        </w:tc>
        <w:tc>
          <w:tcPr>
            <w:tcW w:type="dxa" w:w="3960"/>
            <w:vAlign w:val="top"/>
          </w:tcPr>
          <w:p>
            <w:r>
              <w:t>Use neutral fallbacks; do not automate unapproved rules</w:t>
            </w:r>
          </w:p>
        </w:tc>
      </w:tr>
      <w:tr>
        <w:trPr>
          <w:cantSplit/>
        </w:trPr>
        <w:tc>
          <w:tcPr>
            <w:tcW w:type="dxa" w:w="2376"/>
            <w:vAlign w:val="top"/>
          </w:tcPr>
          <w:p>
            <w:r>
              <w:t>OTP and media abuse</w:t>
            </w:r>
          </w:p>
        </w:tc>
        <w:tc>
          <w:tcPr>
            <w:tcW w:type="dxa" w:w="3024"/>
            <w:vAlign w:val="top"/>
          </w:tcPr>
          <w:p>
            <w:r>
              <w:t>Variable vendor cost</w:t>
            </w:r>
          </w:p>
        </w:tc>
        <w:tc>
          <w:tcPr>
            <w:tcW w:type="dxa" w:w="3960"/>
            <w:vAlign w:val="top"/>
          </w:tcPr>
          <w:p>
            <w:r>
              <w:t>Rate limits, quotas, monitoring and verified-member controls</w:t>
            </w:r>
          </w:p>
        </w:tc>
      </w:tr>
      <w:tr>
        <w:trPr>
          <w:cantSplit/>
        </w:trPr>
        <w:tc>
          <w:tcPr>
            <w:tcW w:type="dxa" w:w="2376"/>
            <w:vAlign w:val="top"/>
          </w:tcPr>
          <w:p>
            <w:r>
              <w:t>Agency lock-in</w:t>
            </w:r>
          </w:p>
        </w:tc>
        <w:tc>
          <w:tcPr>
            <w:tcW w:type="dxa" w:w="3024"/>
            <w:vAlign w:val="top"/>
          </w:tcPr>
          <w:p>
            <w:r>
              <w:t>Higher maintenance cost</w:t>
            </w:r>
          </w:p>
        </w:tc>
        <w:tc>
          <w:tcPr>
            <w:tcW w:type="dxa" w:w="3960"/>
            <w:vAlign w:val="top"/>
          </w:tcPr>
          <w:p>
            <w:r>
              <w:t>Jyphra-owned repositories, open contracts and documented handover</w:t>
            </w:r>
          </w:p>
        </w:tc>
      </w:tr>
      <w:tr>
        <w:trPr>
          <w:cantSplit/>
        </w:trPr>
        <w:tc>
          <w:tcPr>
            <w:tcW w:type="dxa" w:w="2376"/>
            <w:vAlign w:val="top"/>
          </w:tcPr>
          <w:p>
            <w:r>
              <w:t>App-store or security findings</w:t>
            </w:r>
          </w:p>
        </w:tc>
        <w:tc>
          <w:tcPr>
            <w:tcW w:type="dxa" w:w="3024"/>
            <w:vAlign w:val="top"/>
          </w:tcPr>
          <w:p>
            <w:r>
              <w:t>Launch delay</w:t>
            </w:r>
          </w:p>
        </w:tc>
        <w:tc>
          <w:tcPr>
            <w:tcW w:type="dxa" w:w="3960"/>
            <w:vAlign w:val="top"/>
          </w:tcPr>
          <w:p>
            <w:r>
              <w:t>Pre-submission compliance and independent assessment</w:t>
            </w:r>
          </w:p>
        </w:tc>
      </w:tr>
      <w:tr>
        <w:trPr>
          <w:cantSplit/>
        </w:trPr>
        <w:tc>
          <w:tcPr>
            <w:tcW w:type="dxa" w:w="2376"/>
            <w:vAlign w:val="top"/>
          </w:tcPr>
          <w:p>
            <w:r>
              <w:t>Peak-event traffic</w:t>
            </w:r>
          </w:p>
        </w:tc>
        <w:tc>
          <w:tcPr>
            <w:tcW w:type="dxa" w:w="3024"/>
            <w:vAlign w:val="top"/>
          </w:tcPr>
          <w:p>
            <w:r>
              <w:t>Cloud cost/performance spike</w:t>
            </w:r>
          </w:p>
        </w:tc>
        <w:tc>
          <w:tcPr>
            <w:tcW w:type="dxa" w:w="3960"/>
            <w:vAlign w:val="top"/>
          </w:tcPr>
          <w:p>
            <w:r>
              <w:t>Load tests, autoscaling limits, queues and CDN</w:t>
            </w:r>
          </w:p>
        </w:tc>
      </w:tr>
      <w:tr>
        <w:trPr>
          <w:cantSplit/>
        </w:trPr>
        <w:tc>
          <w:tcPr>
            <w:tcW w:type="dxa" w:w="2376"/>
            <w:vAlign w:val="top"/>
          </w:tcPr>
          <w:p>
            <w:r>
              <w:t>USD/NPR volatility</w:t>
            </w:r>
          </w:p>
        </w:tc>
        <w:tc>
          <w:tcPr>
            <w:tcW w:type="dxa" w:w="3024"/>
            <w:vAlign w:val="top"/>
          </w:tcPr>
          <w:p>
            <w:r>
              <w:t>Recurring vendor-price change</w:t>
            </w:r>
          </w:p>
        </w:tc>
        <w:tc>
          <w:tcPr>
            <w:tcW w:type="dxa" w:w="3960"/>
            <w:vAlign w:val="top"/>
          </w:tcPr>
          <w:p>
            <w:r>
              <w:t>Use NRB reference and quarterly reforecast</w:t>
            </w:r>
          </w:p>
        </w:tc>
      </w:tr>
      <w:tr>
        <w:trPr>
          <w:cantSplit/>
        </w:trPr>
        <w:tc>
          <w:tcPr>
            <w:tcW w:type="dxa" w:w="2376"/>
            <w:vAlign w:val="top"/>
          </w:tcPr>
          <w:p>
            <w:r>
              <w:t>Scope change after baseline</w:t>
            </w:r>
          </w:p>
        </w:tc>
        <w:tc>
          <w:tcPr>
            <w:tcW w:type="dxa" w:w="3024"/>
            <w:vAlign w:val="top"/>
          </w:tcPr>
          <w:p>
            <w:r>
              <w:t>Schedule and budget increase</w:t>
            </w:r>
          </w:p>
        </w:tc>
        <w:tc>
          <w:tcPr>
            <w:tcW w:type="dxa" w:w="3960"/>
            <w:vAlign w:val="top"/>
          </w:tcPr>
          <w:p>
            <w:r>
              <w:t>Formal change control and contingency governance</w:t>
            </w:r>
          </w:p>
        </w:tc>
      </w:tr>
    </w:tbl>
    <w:p>
      <w:pPr>
        <w:pStyle w:val="Heading1"/>
      </w:pPr>
      <w:r>
        <w:t>10. Acceptance and approval conditions</w:t>
      </w:r>
    </w:p>
    <w:p>
      <w:pPr>
        <w:pStyle w:val="ListBullet"/>
      </w:pPr>
      <w:r>
        <w:t>Jyphra approves one scenario as the active funding baseline and records its budget authority.</w:t>
      </w:r>
    </w:p>
    <w:p>
      <w:pPr>
        <w:pStyle w:val="ListBullet"/>
      </w:pPr>
      <w:r>
        <w:t>Finance and procurement confirm VAT, withholding, payment currency and supplier terms before signing.</w:t>
      </w:r>
    </w:p>
    <w:p>
      <w:pPr>
        <w:pStyle w:val="ListBullet"/>
      </w:pPr>
      <w:r>
        <w:t>Technology leadership converts the selected scenario into a bill of quantities and live vendor quotations.</w:t>
      </w:r>
    </w:p>
    <w:p>
      <w:pPr>
        <w:pStyle w:val="ListBullet"/>
      </w:pPr>
      <w:r>
        <w:t>The agency contract includes intellectual-property assignment, confidentiality, privacy/security duties, acceptance criteria, warranty, handover and exit assistance.</w:t>
      </w:r>
    </w:p>
    <w:p>
      <w:pPr>
        <w:pStyle w:val="ListBullet"/>
      </w:pPr>
      <w:r>
        <w:t>Release funding is stopped or rebaselined if gate evidence fails, material scope changes, or forecast variance exceeds the approved tolerance.</w:t>
      </w:r>
    </w:p>
    <w:p>
      <w:pPr>
        <w:pStyle w:val="ListBullet"/>
      </w:pPr>
      <w:r>
        <w:t>Operating budget ownership is assigned before production and includes backup restore tests, incident handling, patching, moderation and support.</w:t>
      </w:r>
    </w:p>
    <w:p>
      <w:r>
        <w:br w:type="page"/>
      </w:r>
    </w:p>
    <w:p>
      <w:pPr>
        <w:pStyle w:val="Heading1"/>
      </w:pPr>
      <w:r>
        <w:t>11. Sources and limitations</w:t>
      </w:r>
    </w:p>
    <w:p>
      <w:r>
        <w:t>The model uses public market signals and official vendor pricing structures only as benchmarks. Cloud, SMS, maps, tax and agency charges remain usage- and contract-specific. The USD/NPR planning reference uses Nepal Rastra Bank’s 8 September 2026 selling rate of NPR 151.48 per USD. Vendor pricing should be refreshed immediately before procurement.</w:t>
      </w:r>
    </w:p>
    <w:p>
      <w:pPr>
        <w:pStyle w:val="ListBullet"/>
      </w:pPr>
      <w:r>
        <w:t>Nepal Rastra Bank foreign exchange: https://www.nrb.org.np/forex/</w:t>
      </w:r>
    </w:p>
    <w:p>
      <w:pPr>
        <w:pStyle w:val="ListBullet"/>
      </w:pPr>
      <w:r>
        <w:t>Google Firebase pricing: https://firebase.google.com/pricing</w:t>
      </w:r>
    </w:p>
    <w:p>
      <w:pPr>
        <w:pStyle w:val="ListBullet"/>
      </w:pPr>
      <w:r>
        <w:t>Amazon EC2 pricing: https://aws.amazon.com/ec2/pricing/</w:t>
      </w:r>
    </w:p>
    <w:p>
      <w:pPr>
        <w:pStyle w:val="ListBullet"/>
      </w:pPr>
      <w:r>
        <w:t>Amazon RDS pricing: https://aws.amazon.com/rds/pricing/</w:t>
      </w:r>
    </w:p>
    <w:p>
      <w:pPr>
        <w:pStyle w:val="ListBullet"/>
      </w:pPr>
      <w:r>
        <w:t>Nepal software engineer market signal: https://www.levels.fyi/t/software-engineer/locations/nepal</w:t>
      </w:r>
    </w:p>
    <w:p>
      <w:pPr>
        <w:pStyle w:val="ListBullet"/>
      </w:pPr>
      <w:r>
        <w:t>Nepal outsourcing benchmark: https://bytecodedevelopers.com/blog/why-outsourcing-to-nepal-saves-big</w:t>
      </w:r>
    </w:p>
    <w:p>
      <w:pPr>
        <w:pStyle w:val="ListBullet"/>
      </w:pPr>
      <w:r>
        <w:t>Nepal Inland Revenue Department: https://ird.gov.np/</w:t>
      </w:r>
    </w:p>
    <w:p>
      <w:pPr>
        <w:pStyle w:val="Heading1"/>
      </w:pPr>
      <w:r>
        <w:t>12. Formal planning approval</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shd w:fill="704214"/>
            <w:vAlign w:val="center"/>
          </w:tcPr>
          <w:p>
            <w:r>
              <w:rPr>
                <w:b/>
                <w:color w:val="FFFFFF"/>
              </w:rPr>
              <w:t>Field</w:t>
            </w:r>
          </w:p>
        </w:tc>
        <w:tc>
          <w:tcPr>
            <w:tcW w:type="dxa" w:w="6480"/>
            <w:shd w:fill="704214"/>
            <w:vAlign w:val="center"/>
          </w:tcPr>
          <w:p>
            <w:r>
              <w:rPr>
                <w:b/>
                <w:color w:val="FFFFFF"/>
              </w:rPr>
              <w:t>Approved value</w:t>
            </w:r>
          </w:p>
        </w:tc>
      </w:tr>
      <w:tr>
        <w:trPr>
          <w:cantSplit/>
        </w:trPr>
        <w:tc>
          <w:tcPr>
            <w:tcW w:type="dxa" w:w="2880"/>
            <w:vAlign w:val="top"/>
          </w:tcPr>
          <w:p>
            <w:r>
              <w:t>Owner</w:t>
            </w:r>
          </w:p>
        </w:tc>
        <w:tc>
          <w:tcPr>
            <w:tcW w:type="dxa" w:w="6480"/>
            <w:vAlign w:val="top"/>
          </w:tcPr>
          <w:p>
            <w:r>
              <w:t>Jyphra Technology Pvt. Ltd.</w:t>
            </w:r>
          </w:p>
        </w:tc>
      </w:tr>
      <w:tr>
        <w:trPr>
          <w:cantSplit/>
        </w:trPr>
        <w:tc>
          <w:tcPr>
            <w:tcW w:type="dxa" w:w="2880"/>
            <w:vAlign w:val="top"/>
          </w:tcPr>
          <w:p>
            <w:r>
              <w:t>Approving organization</w:t>
            </w:r>
          </w:p>
        </w:tc>
        <w:tc>
          <w:tcPr>
            <w:tcW w:type="dxa" w:w="6480"/>
            <w:vAlign w:val="top"/>
          </w:tcPr>
          <w:p>
            <w:r>
              <w:t>Jyphra Technology Pvt. Ltd.</w:t>
            </w:r>
          </w:p>
        </w:tc>
      </w:tr>
      <w:tr>
        <w:trPr>
          <w:cantSplit/>
        </w:trPr>
        <w:tc>
          <w:tcPr>
            <w:tcW w:type="dxa" w:w="2880"/>
            <w:vAlign w:val="top"/>
          </w:tcPr>
          <w:p>
            <w:r>
              <w:t>Approved planning scenario</w:t>
            </w:r>
          </w:p>
        </w:tc>
        <w:tc>
          <w:tcPr>
            <w:tcW w:type="dxa" w:w="6480"/>
            <w:vAlign w:val="top"/>
          </w:tcPr>
          <w:p>
            <w:r>
              <w:t>Recommended Production-Grade</w:t>
            </w:r>
          </w:p>
        </w:tc>
      </w:tr>
      <w:tr>
        <w:trPr>
          <w:cantSplit/>
        </w:trPr>
        <w:tc>
          <w:tcPr>
            <w:tcW w:type="dxa" w:w="2880"/>
            <w:vAlign w:val="top"/>
          </w:tcPr>
          <w:p>
            <w:r>
              <w:t>Approval scope</w:t>
            </w:r>
          </w:p>
        </w:tc>
        <w:tc>
          <w:tcPr>
            <w:tcW w:type="dxa" w:w="6480"/>
            <w:vAlign w:val="top"/>
          </w:tcPr>
          <w:p>
            <w:r>
              <w:t>Internal SDLC, budgeting, procurement preparation and vendor negotiation</w:t>
            </w:r>
          </w:p>
        </w:tc>
      </w:tr>
      <w:tr>
        <w:trPr>
          <w:cantSplit/>
        </w:trPr>
        <w:tc>
          <w:tcPr>
            <w:tcW w:type="dxa" w:w="2880"/>
            <w:vAlign w:val="top"/>
          </w:tcPr>
          <w:p>
            <w:r>
              <w:t>Approval date</w:t>
            </w:r>
          </w:p>
        </w:tc>
        <w:tc>
          <w:tcPr>
            <w:tcW w:type="dxa" w:w="6480"/>
            <w:vAlign w:val="top"/>
          </w:tcPr>
          <w:p>
            <w:r>
              <w:t>8 September 2026</w:t>
            </w:r>
          </w:p>
        </w:tc>
      </w:tr>
      <w:tr>
        <w:trPr>
          <w:cantSplit/>
        </w:trPr>
        <w:tc>
          <w:tcPr>
            <w:tcW w:type="dxa" w:w="2880"/>
            <w:vAlign w:val="top"/>
          </w:tcPr>
          <w:p>
            <w:r>
              <w:t>Remaining condition</w:t>
            </w:r>
          </w:p>
        </w:tc>
        <w:tc>
          <w:tcPr>
            <w:tcW w:type="dxa" w:w="6480"/>
            <w:vAlign w:val="top"/>
          </w:tcPr>
          <w:p>
            <w:r>
              <w:t>Live quotations, tax confirmation and contract approval before financial commitment</w:t>
            </w:r>
          </w:p>
        </w:tc>
      </w:tr>
    </w:tbl>
    <w:p>
      <w:pPr>
        <w:pStyle w:val="IntenseQuote"/>
      </w:pPr>
      <w:r>
        <w:t>This approval establishes the planning baseline; it does not itself authorize supplier purchase orders or replace contractual due diligence.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INTERNAL SDLC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704214"/>
      </w:rPr>
      <w:t>JYPHRA TECHNOLOGY PVT. LTD.  |  KASHYAP ADHIKARI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0421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0421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