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Tools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 : Android Studio 3.4.2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Language : Kotline - 1.3.41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Gradle: 5.1.1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Android Gradle Plugin Version: 3.4.2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Tool Version: 12.0.0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run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 Project in Android Studio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 </w:t>
      </w:r>
      <w:r w:rsidDel="00000000" w:rsidR="00000000" w:rsidRPr="00000000">
        <w:rPr>
          <w:b w:val="1"/>
          <w:sz w:val="20"/>
          <w:szCs w:val="20"/>
          <w:rtl w:val="0"/>
        </w:rPr>
        <w:t xml:space="preserve">IssueTrackerUnitTest </w:t>
      </w:r>
      <w:r w:rsidDel="00000000" w:rsidR="00000000" w:rsidRPr="00000000">
        <w:rPr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Run the Test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49862" cy="27984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862" cy="2798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Operations has been implemented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Issue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Issue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Issue State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 User to Issue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Issue comment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list of Issues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a Specific Issue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User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list Of User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a specific user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Set for store data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User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val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users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hashSetOf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&lt;User&gt;()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For Issue 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val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issues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hashSetOf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&lt;Issue&gt;()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Unit Test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 have implemented unit test into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IssueTrackerUnitTest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file. You can find unit test file on zip folder.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These sort of testing has been performed 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Filter Issue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Remove User - User will be removed from main list and Issue list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removeTask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randomTest - Pick a random task and assign it to a random user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userTest - Fetch User list and filter data from the Issue list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