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8E45F" w14:textId="77777777" w:rsidR="00191D10" w:rsidRDefault="00000000">
      <w:pPr>
        <w:spacing w:after="40"/>
      </w:pPr>
      <w:r>
        <w:rPr>
          <w:b/>
          <w:bCs/>
          <w:color w:val="2E5B8A"/>
          <w:sz w:val="34"/>
          <w:szCs w:val="34"/>
        </w:rPr>
        <w:t>Sales Forecasting &amp; Demand Intelligence</w:t>
      </w:r>
    </w:p>
    <w:p w14:paraId="031DEBB4" w14:textId="77777777" w:rsidR="00191D10" w:rsidRDefault="00000000">
      <w:pPr>
        <w:spacing w:after="200"/>
      </w:pPr>
      <w:r>
        <w:rPr>
          <w:color w:val="555555"/>
          <w:sz w:val="24"/>
          <w:szCs w:val="24"/>
        </w:rPr>
        <w:t>Executive Business Report</w:t>
      </w:r>
    </w:p>
    <w:p w14:paraId="2DE80E0A" w14:textId="77777777" w:rsidR="00191D10" w:rsidRDefault="00000000">
      <w:pPr>
        <w:spacing w:after="40"/>
      </w:pPr>
      <w:r>
        <w:rPr>
          <w:b/>
          <w:bCs/>
        </w:rPr>
        <w:t xml:space="preserve">Prepared for: </w:t>
      </w:r>
      <w:r>
        <w:t>Head of Supply Chain, CFO</w:t>
      </w:r>
    </w:p>
    <w:p w14:paraId="3A6F7193" w14:textId="20519BAB" w:rsidR="00191D10" w:rsidRDefault="00000000">
      <w:pPr>
        <w:spacing w:after="40"/>
      </w:pPr>
      <w:r>
        <w:rPr>
          <w:b/>
          <w:bCs/>
        </w:rPr>
        <w:t xml:space="preserve">Prepared by: </w:t>
      </w:r>
      <w:r w:rsidR="002D0903">
        <w:t>Rahul Jangid</w:t>
      </w:r>
      <w:r>
        <w:t xml:space="preserve">, Data Science Intern — </w:t>
      </w:r>
      <w:r w:rsidR="00EC11D5" w:rsidRPr="00EC11D5">
        <w:t>XYlofy AI</w:t>
      </w:r>
    </w:p>
    <w:p w14:paraId="6064DA02" w14:textId="6DF1CD18" w:rsidR="00191D10" w:rsidRDefault="00000000">
      <w:pPr>
        <w:pBdr>
          <w:bottom w:val="single" w:sz="6" w:space="8" w:color="2E5B8A"/>
        </w:pBdr>
        <w:spacing w:after="260"/>
      </w:pPr>
      <w:r>
        <w:rPr>
          <w:b/>
          <w:bCs/>
        </w:rPr>
        <w:t xml:space="preserve">Date: </w:t>
      </w:r>
      <w:r w:rsidR="00EC11D5">
        <w:t>July 1</w:t>
      </w:r>
      <w:r w:rsidR="002D0903">
        <w:t>3</w:t>
      </w:r>
      <w:r w:rsidR="00EC11D5">
        <w:t>- 2026</w:t>
      </w:r>
      <w:r>
        <w:rPr>
          <w:color w:val="777777"/>
        </w:rPr>
        <w:t xml:space="preserve">    </w:t>
      </w:r>
    </w:p>
    <w:p w14:paraId="180C751E" w14:textId="77777777" w:rsidR="00191D10" w:rsidRDefault="00000000">
      <w:pPr>
        <w:pStyle w:val="Heading1"/>
        <w:spacing w:before="240" w:after="120"/>
      </w:pPr>
      <w:r>
        <w:t>Executive Summary</w:t>
      </w:r>
    </w:p>
    <w:p w14:paraId="30F5B313" w14:textId="77777777" w:rsidR="00191D10" w:rsidRDefault="00000000">
      <w:pPr>
        <w:spacing w:after="140"/>
      </w:pPr>
      <w:r>
        <w:t>Over the past four years the business generated $2.26 million in sales across 4,922 orders, averaging $459 per order. Technology is the top-earning category, and the East region has grown every single year without a single down year — the most reliable growth story in the business. We built and compared three different forecasting approaches and found they agree on the big picture: expect a seasonal dip into January and February 2019, before sales climb again in March. Along the way, we also flagged 16 unusual sales weeks worth a closer look, and grouped the 17 product sub-categories into four demand patterns to guide stocking decisions. The short version: the business is healthy and growing, the pattern is predictable enough to plan around, and a small number of specific actions below would reduce both stockout and overstock risk in the next quarter.</w:t>
      </w:r>
    </w:p>
    <w:p w14:paraId="5CE3BC10" w14:textId="77777777" w:rsidR="00191D10" w:rsidRDefault="00000000">
      <w:pPr>
        <w:pStyle w:val="Heading1"/>
        <w:spacing w:before="240" w:after="120"/>
      </w:pPr>
      <w:r>
        <w:t>Key Findings</w:t>
      </w:r>
    </w:p>
    <w:p w14:paraId="27B29BB0" w14:textId="77777777" w:rsidR="00191D10" w:rsidRDefault="00000000">
      <w:pPr>
        <w:pStyle w:val="ListParagraph"/>
        <w:numPr>
          <w:ilvl w:val="0"/>
          <w:numId w:val="2"/>
        </w:numPr>
        <w:spacing w:after="90"/>
      </w:pPr>
      <w:r>
        <w:rPr>
          <w:b/>
          <w:bCs/>
        </w:rPr>
        <w:t xml:space="preserve">Revenue leader: </w:t>
      </w:r>
      <w:r>
        <w:t>Technology is the highest-revenue category at $827,456, narrowly ahead of Furniture ($728,659) and Office Supplies ($705,422) — the three categories are closer in dollars than in order count.</w:t>
      </w:r>
    </w:p>
    <w:p w14:paraId="0A0B7BAB" w14:textId="77777777" w:rsidR="00191D10" w:rsidRDefault="00000000">
      <w:pPr>
        <w:pStyle w:val="ListParagraph"/>
        <w:numPr>
          <w:ilvl w:val="0"/>
          <w:numId w:val="2"/>
        </w:numPr>
        <w:spacing w:after="90"/>
      </w:pPr>
      <w:r>
        <w:rPr>
          <w:b/>
          <w:bCs/>
        </w:rPr>
        <w:t xml:space="preserve">Most consistent growth: </w:t>
      </w:r>
      <w:r>
        <w:t>The East region grew every year from 2015 to 2018 with no dips, making it the most dependable growth region; West and Central both had a down year in 2016, and South dropped sharply that same year before recovering.</w:t>
      </w:r>
    </w:p>
    <w:p w14:paraId="75940298" w14:textId="77777777" w:rsidR="00191D10" w:rsidRDefault="00000000">
      <w:pPr>
        <w:pStyle w:val="ListParagraph"/>
        <w:numPr>
          <w:ilvl w:val="0"/>
          <w:numId w:val="2"/>
        </w:numPr>
        <w:spacing w:after="90"/>
      </w:pPr>
      <w:r>
        <w:rPr>
          <w:b/>
          <w:bCs/>
        </w:rPr>
        <w:t xml:space="preserve">Shipping performance: </w:t>
      </w:r>
      <w:r>
        <w:t>Orders take about 4 days to ship on average, and this barely varies by region (3.9 to 4.1 days) — delivery speed is a nationwide process issue, not a regional one.</w:t>
      </w:r>
    </w:p>
    <w:p w14:paraId="4A347941" w14:textId="77777777" w:rsidR="00191D10" w:rsidRDefault="00000000">
      <w:pPr>
        <w:pStyle w:val="ListParagraph"/>
        <w:numPr>
          <w:ilvl w:val="0"/>
          <w:numId w:val="2"/>
        </w:numPr>
        <w:spacing w:after="90"/>
      </w:pPr>
      <w:r>
        <w:rPr>
          <w:b/>
          <w:bCs/>
        </w:rPr>
        <w:t xml:space="preserve">Seasonality is real and repeatable: </w:t>
      </w:r>
      <w:r>
        <w:t>November, December, and September reliably outsell every other month, every year — classic holiday and back-to-office demand. January and February are reliably the slowest months.</w:t>
      </w:r>
    </w:p>
    <w:p w14:paraId="5A1C8C27" w14:textId="77777777" w:rsidR="00191D10" w:rsidRDefault="00000000">
      <w:pPr>
        <w:pStyle w:val="Heading1"/>
        <w:spacing w:before="240" w:after="120"/>
      </w:pPr>
      <w:r>
        <w:t>3-Month Sales Forecast</w:t>
      </w:r>
    </w:p>
    <w:p w14:paraId="14399055" w14:textId="77777777" w:rsidR="00191D10" w:rsidRDefault="00000000">
      <w:pPr>
        <w:spacing w:after="140"/>
      </w:pPr>
      <w:r>
        <w:t>We tested three different forecasting methods side by side on three months of actual, known sales (Oct-Dec 2018) to see which predicted them most accurately: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50"/>
        <w:gridCol w:w="2050"/>
        <w:gridCol w:w="2050"/>
        <w:gridCol w:w="1000"/>
      </w:tblGrid>
      <w:tr w:rsidR="00191D10" w14:paraId="2F60CB3B" w14:textId="77777777">
        <w:tc>
          <w:tcPr>
            <w:tcW w:w="2200" w:type="dxa"/>
            <w:shd w:val="clear" w:color="auto" w:fill="2E5B8A"/>
            <w:tcMar>
              <w:top w:w="80" w:type="dxa"/>
              <w:left w:w="100" w:type="dxa"/>
              <w:bottom w:w="80" w:type="dxa"/>
              <w:right w:w="100" w:type="dxa"/>
            </w:tcMar>
          </w:tcPr>
          <w:p w14:paraId="7F62D063" w14:textId="77777777" w:rsidR="00191D10" w:rsidRDefault="00000000">
            <w:r>
              <w:rPr>
                <w:b/>
                <w:bCs/>
                <w:color w:val="FFFFFF"/>
                <w:sz w:val="19"/>
                <w:szCs w:val="19"/>
              </w:rPr>
              <w:t>Model</w:t>
            </w:r>
          </w:p>
        </w:tc>
        <w:tc>
          <w:tcPr>
            <w:tcW w:w="2050" w:type="dxa"/>
            <w:shd w:val="clear" w:color="auto" w:fill="2E5B8A"/>
            <w:tcMar>
              <w:top w:w="80" w:type="dxa"/>
              <w:left w:w="100" w:type="dxa"/>
              <w:bottom w:w="80" w:type="dxa"/>
              <w:right w:w="100" w:type="dxa"/>
            </w:tcMar>
          </w:tcPr>
          <w:p w14:paraId="0CE1590F" w14:textId="77777777" w:rsidR="00191D10" w:rsidRDefault="00000000">
            <w:r>
              <w:rPr>
                <w:b/>
                <w:bCs/>
                <w:color w:val="FFFFFF"/>
                <w:sz w:val="19"/>
                <w:szCs w:val="19"/>
              </w:rPr>
              <w:t>Avg. Error (MAE)</w:t>
            </w:r>
          </w:p>
        </w:tc>
        <w:tc>
          <w:tcPr>
            <w:tcW w:w="2050" w:type="dxa"/>
            <w:shd w:val="clear" w:color="auto" w:fill="2E5B8A"/>
            <w:tcMar>
              <w:top w:w="80" w:type="dxa"/>
              <w:left w:w="100" w:type="dxa"/>
              <w:bottom w:w="80" w:type="dxa"/>
              <w:right w:w="100" w:type="dxa"/>
            </w:tcMar>
          </w:tcPr>
          <w:p w14:paraId="3C2247ED" w14:textId="77777777" w:rsidR="00191D10" w:rsidRDefault="00000000">
            <w:r>
              <w:rPr>
                <w:b/>
                <w:bCs/>
                <w:color w:val="FFFFFF"/>
                <w:sz w:val="19"/>
                <w:szCs w:val="19"/>
              </w:rPr>
              <w:t>Typical Miss (RMSE)</w:t>
            </w:r>
          </w:p>
        </w:tc>
        <w:tc>
          <w:tcPr>
            <w:tcW w:w="2050" w:type="dxa"/>
            <w:shd w:val="clear" w:color="auto" w:fill="2E5B8A"/>
            <w:tcMar>
              <w:top w:w="80" w:type="dxa"/>
              <w:left w:w="100" w:type="dxa"/>
              <w:bottom w:w="80" w:type="dxa"/>
              <w:right w:w="100" w:type="dxa"/>
            </w:tcMar>
          </w:tcPr>
          <w:p w14:paraId="0A2E20C6" w14:textId="77777777" w:rsidR="00191D10" w:rsidRDefault="00000000">
            <w:r>
              <w:rPr>
                <w:b/>
                <w:bCs/>
                <w:color w:val="FFFFFF"/>
                <w:sz w:val="19"/>
                <w:szCs w:val="19"/>
              </w:rPr>
              <w:t>Error Rate (MAPE)</w:t>
            </w:r>
          </w:p>
        </w:tc>
        <w:tc>
          <w:tcPr>
            <w:tcW w:w="1000" w:type="dxa"/>
            <w:shd w:val="clear" w:color="auto" w:fill="2E5B8A"/>
            <w:tcMar>
              <w:top w:w="80" w:type="dxa"/>
              <w:left w:w="100" w:type="dxa"/>
              <w:bottom w:w="80" w:type="dxa"/>
              <w:right w:w="100" w:type="dxa"/>
            </w:tcMar>
          </w:tcPr>
          <w:p w14:paraId="26ABFEF5" w14:textId="77777777" w:rsidR="00191D10" w:rsidRDefault="00000000">
            <w:r>
              <w:rPr>
                <w:b/>
                <w:bCs/>
                <w:color w:val="FFFFFF"/>
                <w:sz w:val="19"/>
                <w:szCs w:val="19"/>
              </w:rPr>
              <w:t>Rank</w:t>
            </w:r>
          </w:p>
        </w:tc>
      </w:tr>
      <w:tr w:rsidR="00191D10" w14:paraId="337F2B66" w14:textId="77777777">
        <w:tc>
          <w:tcPr>
            <w:tcW w:w="2200" w:type="dxa"/>
            <w:tcMar>
              <w:top w:w="80" w:type="dxa"/>
              <w:left w:w="100" w:type="dxa"/>
              <w:bottom w:w="80" w:type="dxa"/>
              <w:right w:w="100" w:type="dxa"/>
            </w:tcMar>
          </w:tcPr>
          <w:p w14:paraId="2F616230" w14:textId="77777777" w:rsidR="00191D10" w:rsidRDefault="00000000">
            <w:r>
              <w:rPr>
                <w:sz w:val="19"/>
                <w:szCs w:val="19"/>
              </w:rPr>
              <w:t>XGBoost (recommended)</w:t>
            </w:r>
          </w:p>
        </w:tc>
        <w:tc>
          <w:tcPr>
            <w:tcW w:w="2050" w:type="dxa"/>
            <w:tcMar>
              <w:top w:w="80" w:type="dxa"/>
              <w:left w:w="100" w:type="dxa"/>
              <w:bottom w:w="80" w:type="dxa"/>
              <w:right w:w="100" w:type="dxa"/>
            </w:tcMar>
          </w:tcPr>
          <w:p w14:paraId="4600976A" w14:textId="77777777" w:rsidR="00191D10" w:rsidRDefault="00000000">
            <w:r>
              <w:rPr>
                <w:sz w:val="19"/>
                <w:szCs w:val="19"/>
              </w:rPr>
              <w:t>$18,900</w:t>
            </w:r>
          </w:p>
        </w:tc>
        <w:tc>
          <w:tcPr>
            <w:tcW w:w="2050" w:type="dxa"/>
            <w:tcMar>
              <w:top w:w="80" w:type="dxa"/>
              <w:left w:w="100" w:type="dxa"/>
              <w:bottom w:w="80" w:type="dxa"/>
              <w:right w:w="100" w:type="dxa"/>
            </w:tcMar>
          </w:tcPr>
          <w:p w14:paraId="1FBD9E64" w14:textId="77777777" w:rsidR="00191D10" w:rsidRDefault="00000000">
            <w:r>
              <w:rPr>
                <w:sz w:val="19"/>
                <w:szCs w:val="19"/>
              </w:rPr>
              <w:t>$20,794</w:t>
            </w:r>
          </w:p>
        </w:tc>
        <w:tc>
          <w:tcPr>
            <w:tcW w:w="2050" w:type="dxa"/>
            <w:tcMar>
              <w:top w:w="80" w:type="dxa"/>
              <w:left w:w="100" w:type="dxa"/>
              <w:bottom w:w="80" w:type="dxa"/>
              <w:right w:w="100" w:type="dxa"/>
            </w:tcMar>
          </w:tcPr>
          <w:p w14:paraId="487236D9" w14:textId="77777777" w:rsidR="00191D10" w:rsidRDefault="00000000">
            <w:r>
              <w:rPr>
                <w:sz w:val="19"/>
                <w:szCs w:val="19"/>
              </w:rPr>
              <w:t>19.4%</w:t>
            </w:r>
          </w:p>
        </w:tc>
        <w:tc>
          <w:tcPr>
            <w:tcW w:w="1000" w:type="dxa"/>
            <w:tcMar>
              <w:top w:w="80" w:type="dxa"/>
              <w:left w:w="100" w:type="dxa"/>
              <w:bottom w:w="80" w:type="dxa"/>
              <w:right w:w="100" w:type="dxa"/>
            </w:tcMar>
          </w:tcPr>
          <w:p w14:paraId="60AEF879" w14:textId="77777777" w:rsidR="00191D10" w:rsidRDefault="00000000">
            <w:r>
              <w:rPr>
                <w:sz w:val="19"/>
                <w:szCs w:val="19"/>
              </w:rPr>
              <w:t>1st</w:t>
            </w:r>
          </w:p>
        </w:tc>
      </w:tr>
      <w:tr w:rsidR="00191D10" w14:paraId="3ED627E6" w14:textId="77777777">
        <w:tc>
          <w:tcPr>
            <w:tcW w:w="2200" w:type="dxa"/>
            <w:tcMar>
              <w:top w:w="80" w:type="dxa"/>
              <w:left w:w="100" w:type="dxa"/>
              <w:bottom w:w="80" w:type="dxa"/>
              <w:right w:w="100" w:type="dxa"/>
            </w:tcMar>
          </w:tcPr>
          <w:p w14:paraId="30B0C20B" w14:textId="77777777" w:rsidR="00191D10" w:rsidRDefault="00000000">
            <w:r>
              <w:rPr>
                <w:sz w:val="19"/>
                <w:szCs w:val="19"/>
              </w:rPr>
              <w:t>SARIMA</w:t>
            </w:r>
          </w:p>
        </w:tc>
        <w:tc>
          <w:tcPr>
            <w:tcW w:w="2050" w:type="dxa"/>
            <w:tcMar>
              <w:top w:w="80" w:type="dxa"/>
              <w:left w:w="100" w:type="dxa"/>
              <w:bottom w:w="80" w:type="dxa"/>
              <w:right w:w="100" w:type="dxa"/>
            </w:tcMar>
          </w:tcPr>
          <w:p w14:paraId="0810FF9C" w14:textId="77777777" w:rsidR="00191D10" w:rsidRDefault="00000000">
            <w:r>
              <w:rPr>
                <w:sz w:val="19"/>
                <w:szCs w:val="19"/>
              </w:rPr>
              <w:t>$19,244</w:t>
            </w:r>
          </w:p>
        </w:tc>
        <w:tc>
          <w:tcPr>
            <w:tcW w:w="2050" w:type="dxa"/>
            <w:tcMar>
              <w:top w:w="80" w:type="dxa"/>
              <w:left w:w="100" w:type="dxa"/>
              <w:bottom w:w="80" w:type="dxa"/>
              <w:right w:w="100" w:type="dxa"/>
            </w:tcMar>
          </w:tcPr>
          <w:p w14:paraId="0F2AAE76" w14:textId="77777777" w:rsidR="00191D10" w:rsidRDefault="00000000">
            <w:r>
              <w:rPr>
                <w:sz w:val="19"/>
                <w:szCs w:val="19"/>
              </w:rPr>
              <w:t>$19,950</w:t>
            </w:r>
          </w:p>
        </w:tc>
        <w:tc>
          <w:tcPr>
            <w:tcW w:w="2050" w:type="dxa"/>
            <w:tcMar>
              <w:top w:w="80" w:type="dxa"/>
              <w:left w:w="100" w:type="dxa"/>
              <w:bottom w:w="80" w:type="dxa"/>
              <w:right w:w="100" w:type="dxa"/>
            </w:tcMar>
          </w:tcPr>
          <w:p w14:paraId="73738D7A" w14:textId="77777777" w:rsidR="00191D10" w:rsidRDefault="00000000">
            <w:r>
              <w:rPr>
                <w:sz w:val="19"/>
                <w:szCs w:val="19"/>
              </w:rPr>
              <w:t>20.5%</w:t>
            </w:r>
          </w:p>
        </w:tc>
        <w:tc>
          <w:tcPr>
            <w:tcW w:w="1000" w:type="dxa"/>
            <w:tcMar>
              <w:top w:w="80" w:type="dxa"/>
              <w:left w:w="100" w:type="dxa"/>
              <w:bottom w:w="80" w:type="dxa"/>
              <w:right w:w="100" w:type="dxa"/>
            </w:tcMar>
          </w:tcPr>
          <w:p w14:paraId="33076C65" w14:textId="77777777" w:rsidR="00191D10" w:rsidRDefault="00000000">
            <w:r>
              <w:rPr>
                <w:sz w:val="19"/>
                <w:szCs w:val="19"/>
              </w:rPr>
              <w:t>2nd</w:t>
            </w:r>
          </w:p>
        </w:tc>
      </w:tr>
      <w:tr w:rsidR="00191D10" w14:paraId="5F566B3C" w14:textId="77777777">
        <w:tc>
          <w:tcPr>
            <w:tcW w:w="2200" w:type="dxa"/>
            <w:tcMar>
              <w:top w:w="80" w:type="dxa"/>
              <w:left w:w="100" w:type="dxa"/>
              <w:bottom w:w="80" w:type="dxa"/>
              <w:right w:w="100" w:type="dxa"/>
            </w:tcMar>
          </w:tcPr>
          <w:p w14:paraId="38C567CA" w14:textId="77777777" w:rsidR="00191D10" w:rsidRDefault="00000000">
            <w:r>
              <w:rPr>
                <w:sz w:val="19"/>
                <w:szCs w:val="19"/>
              </w:rPr>
              <w:t>Prophet</w:t>
            </w:r>
          </w:p>
        </w:tc>
        <w:tc>
          <w:tcPr>
            <w:tcW w:w="2050" w:type="dxa"/>
            <w:tcMar>
              <w:top w:w="80" w:type="dxa"/>
              <w:left w:w="100" w:type="dxa"/>
              <w:bottom w:w="80" w:type="dxa"/>
              <w:right w:w="100" w:type="dxa"/>
            </w:tcMar>
          </w:tcPr>
          <w:p w14:paraId="082B83EE" w14:textId="77777777" w:rsidR="00191D10" w:rsidRDefault="00000000">
            <w:r>
              <w:rPr>
                <w:sz w:val="19"/>
                <w:szCs w:val="19"/>
              </w:rPr>
              <w:t>$20,296</w:t>
            </w:r>
          </w:p>
        </w:tc>
        <w:tc>
          <w:tcPr>
            <w:tcW w:w="2050" w:type="dxa"/>
            <w:tcMar>
              <w:top w:w="80" w:type="dxa"/>
              <w:left w:w="100" w:type="dxa"/>
              <w:bottom w:w="80" w:type="dxa"/>
              <w:right w:w="100" w:type="dxa"/>
            </w:tcMar>
          </w:tcPr>
          <w:p w14:paraId="0871093F" w14:textId="77777777" w:rsidR="00191D10" w:rsidRDefault="00000000">
            <w:r>
              <w:rPr>
                <w:sz w:val="19"/>
                <w:szCs w:val="19"/>
              </w:rPr>
              <w:t>$22,487</w:t>
            </w:r>
          </w:p>
        </w:tc>
        <w:tc>
          <w:tcPr>
            <w:tcW w:w="2050" w:type="dxa"/>
            <w:tcMar>
              <w:top w:w="80" w:type="dxa"/>
              <w:left w:w="100" w:type="dxa"/>
              <w:bottom w:w="80" w:type="dxa"/>
              <w:right w:w="100" w:type="dxa"/>
            </w:tcMar>
          </w:tcPr>
          <w:p w14:paraId="737C69CF" w14:textId="77777777" w:rsidR="00191D10" w:rsidRDefault="00000000">
            <w:r>
              <w:rPr>
                <w:sz w:val="19"/>
                <w:szCs w:val="19"/>
              </w:rPr>
              <w:t>21.9%</w:t>
            </w:r>
          </w:p>
        </w:tc>
        <w:tc>
          <w:tcPr>
            <w:tcW w:w="1000" w:type="dxa"/>
            <w:tcMar>
              <w:top w:w="80" w:type="dxa"/>
              <w:left w:w="100" w:type="dxa"/>
              <w:bottom w:w="80" w:type="dxa"/>
              <w:right w:w="100" w:type="dxa"/>
            </w:tcMar>
          </w:tcPr>
          <w:p w14:paraId="06F425AF" w14:textId="77777777" w:rsidR="00191D10" w:rsidRDefault="00000000">
            <w:r>
              <w:rPr>
                <w:sz w:val="19"/>
                <w:szCs w:val="19"/>
              </w:rPr>
              <w:t>3rd</w:t>
            </w:r>
          </w:p>
        </w:tc>
      </w:tr>
    </w:tbl>
    <w:p w14:paraId="115CD3A3" w14:textId="77777777" w:rsidR="00191D10" w:rsidRDefault="00191D10">
      <w:pPr>
        <w:spacing w:after="160"/>
      </w:pPr>
    </w:p>
    <w:p w14:paraId="312FCAD7" w14:textId="77777777" w:rsidR="00191D10" w:rsidRDefault="00000000">
      <w:pPr>
        <w:spacing w:after="140"/>
      </w:pPr>
      <w:r>
        <w:t>The XGBoost model was the most accurate of the three, so it's the one we used to project the next three months forward. In plain terms: our forecasts are typically off by about 19-22%, so we present them as ranges rather than single numbers.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191D10" w14:paraId="7EB1E2B2" w14:textId="77777777">
        <w:tc>
          <w:tcPr>
            <w:tcW w:w="3116" w:type="dxa"/>
            <w:shd w:val="clear" w:color="auto" w:fill="2E5B8A"/>
            <w:tcMar>
              <w:top w:w="80" w:type="dxa"/>
              <w:left w:w="100" w:type="dxa"/>
              <w:bottom w:w="80" w:type="dxa"/>
              <w:right w:w="100" w:type="dxa"/>
            </w:tcMar>
          </w:tcPr>
          <w:p w14:paraId="11855D8B" w14:textId="77777777" w:rsidR="00191D10" w:rsidRDefault="00000000">
            <w:r>
              <w:rPr>
                <w:b/>
                <w:bCs/>
                <w:color w:val="FFFFFF"/>
                <w:sz w:val="19"/>
                <w:szCs w:val="19"/>
              </w:rPr>
              <w:t>January 2019</w:t>
            </w:r>
          </w:p>
        </w:tc>
        <w:tc>
          <w:tcPr>
            <w:tcW w:w="3117" w:type="dxa"/>
            <w:shd w:val="clear" w:color="auto" w:fill="2E5B8A"/>
            <w:tcMar>
              <w:top w:w="80" w:type="dxa"/>
              <w:left w:w="100" w:type="dxa"/>
              <w:bottom w:w="80" w:type="dxa"/>
              <w:right w:w="100" w:type="dxa"/>
            </w:tcMar>
          </w:tcPr>
          <w:p w14:paraId="44626341" w14:textId="77777777" w:rsidR="00191D10" w:rsidRDefault="00000000">
            <w:r>
              <w:rPr>
                <w:b/>
                <w:bCs/>
                <w:color w:val="FFFFFF"/>
                <w:sz w:val="19"/>
                <w:szCs w:val="19"/>
              </w:rPr>
              <w:t>February 2019</w:t>
            </w:r>
          </w:p>
        </w:tc>
        <w:tc>
          <w:tcPr>
            <w:tcW w:w="3117" w:type="dxa"/>
            <w:shd w:val="clear" w:color="auto" w:fill="2E5B8A"/>
            <w:tcMar>
              <w:top w:w="80" w:type="dxa"/>
              <w:left w:w="100" w:type="dxa"/>
              <w:bottom w:w="80" w:type="dxa"/>
              <w:right w:w="100" w:type="dxa"/>
            </w:tcMar>
          </w:tcPr>
          <w:p w14:paraId="0D869294" w14:textId="77777777" w:rsidR="00191D10" w:rsidRDefault="00000000">
            <w:r>
              <w:rPr>
                <w:b/>
                <w:bCs/>
                <w:color w:val="FFFFFF"/>
                <w:sz w:val="19"/>
                <w:szCs w:val="19"/>
              </w:rPr>
              <w:t>March 2019</w:t>
            </w:r>
          </w:p>
        </w:tc>
      </w:tr>
      <w:tr w:rsidR="00191D10" w14:paraId="085B6641" w14:textId="77777777">
        <w:tc>
          <w:tcPr>
            <w:tcW w:w="3116" w:type="dxa"/>
            <w:tcMar>
              <w:top w:w="80" w:type="dxa"/>
              <w:left w:w="100" w:type="dxa"/>
              <w:bottom w:w="80" w:type="dxa"/>
              <w:right w:w="100" w:type="dxa"/>
            </w:tcMar>
          </w:tcPr>
          <w:p w14:paraId="0952C9F1" w14:textId="77777777" w:rsidR="00191D10" w:rsidRDefault="00000000">
            <w:r>
              <w:rPr>
                <w:sz w:val="19"/>
                <w:szCs w:val="19"/>
              </w:rPr>
              <w:t>≈ $44,200 (range: $35,000 - $53,000)</w:t>
            </w:r>
          </w:p>
        </w:tc>
        <w:tc>
          <w:tcPr>
            <w:tcW w:w="3117" w:type="dxa"/>
            <w:tcMar>
              <w:top w:w="80" w:type="dxa"/>
              <w:left w:w="100" w:type="dxa"/>
              <w:bottom w:w="80" w:type="dxa"/>
              <w:right w:w="100" w:type="dxa"/>
            </w:tcMar>
          </w:tcPr>
          <w:p w14:paraId="4819DF05" w14:textId="77777777" w:rsidR="00191D10" w:rsidRDefault="00000000">
            <w:r>
              <w:rPr>
                <w:sz w:val="19"/>
                <w:szCs w:val="19"/>
              </w:rPr>
              <w:t>≈ $25,200 (range: $20,000 - $30,000)</w:t>
            </w:r>
          </w:p>
        </w:tc>
        <w:tc>
          <w:tcPr>
            <w:tcW w:w="3117" w:type="dxa"/>
            <w:tcMar>
              <w:top w:w="80" w:type="dxa"/>
              <w:left w:w="100" w:type="dxa"/>
              <w:bottom w:w="80" w:type="dxa"/>
              <w:right w:w="100" w:type="dxa"/>
            </w:tcMar>
          </w:tcPr>
          <w:p w14:paraId="238D8CB3" w14:textId="77777777" w:rsidR="00191D10" w:rsidRDefault="00000000">
            <w:r>
              <w:rPr>
                <w:sz w:val="19"/>
                <w:szCs w:val="19"/>
              </w:rPr>
              <w:t>≈ $53,900 (range: $43,000 - $65,000)</w:t>
            </w:r>
          </w:p>
        </w:tc>
      </w:tr>
    </w:tbl>
    <w:p w14:paraId="356E7A12" w14:textId="77777777" w:rsidR="00191D10" w:rsidRDefault="00191D10">
      <w:pPr>
        <w:spacing w:after="160"/>
      </w:pPr>
    </w:p>
    <w:p w14:paraId="6A4DCFB1" w14:textId="77777777" w:rsidR="00191D10" w:rsidRDefault="00000000">
      <w:pPr>
        <w:spacing w:after="140"/>
      </w:pPr>
      <w:r>
        <w:t>The dip into January and February is expected and matches the same seasonal pattern seen in every prior year in the data — it is not a sign of a slowing business.</w:t>
      </w:r>
    </w:p>
    <w:p w14:paraId="0C0C5DCF" w14:textId="77777777" w:rsidR="00EC11D5" w:rsidRDefault="00EC11D5">
      <w:pPr>
        <w:spacing w:after="140"/>
      </w:pPr>
    </w:p>
    <w:p w14:paraId="46259A42" w14:textId="77777777" w:rsidR="00191D10" w:rsidRDefault="00000000">
      <w:pPr>
        <w:pStyle w:val="Heading1"/>
        <w:spacing w:before="240" w:after="120"/>
      </w:pPr>
      <w:r>
        <w:lastRenderedPageBreak/>
        <w:t>Top Anomalies Detected</w:t>
      </w:r>
    </w:p>
    <w:p w14:paraId="2B9BB177" w14:textId="77777777" w:rsidR="00191D10" w:rsidRDefault="00000000">
      <w:pPr>
        <w:spacing w:after="140"/>
      </w:pPr>
      <w:r>
        <w:t>We ran two independent anomaly-detection methods on weekly sales and flagged 16 unusual weeks out of 209 (about 8%). The three most notable spikes were:</w:t>
      </w:r>
    </w:p>
    <w:p w14:paraId="0EF3F3C1" w14:textId="77777777" w:rsidR="00191D10" w:rsidRDefault="00000000">
      <w:pPr>
        <w:pStyle w:val="ListParagraph"/>
        <w:numPr>
          <w:ilvl w:val="0"/>
          <w:numId w:val="2"/>
        </w:numPr>
        <w:spacing w:after="90"/>
      </w:pPr>
      <w:r>
        <w:rPr>
          <w:b/>
          <w:bCs/>
        </w:rPr>
        <w:t xml:space="preserve">Week of Mar 22, 2015: </w:t>
      </w:r>
      <w:r>
        <w:t>Sales hit $37,700 that week, roughly triple a typical week — likely a small number of large bulk or corporate orders landing at once.</w:t>
      </w:r>
    </w:p>
    <w:p w14:paraId="3FDAFE91" w14:textId="77777777" w:rsidR="00191D10" w:rsidRDefault="00000000">
      <w:pPr>
        <w:pStyle w:val="ListParagraph"/>
        <w:numPr>
          <w:ilvl w:val="0"/>
          <w:numId w:val="2"/>
        </w:numPr>
        <w:spacing w:after="90"/>
      </w:pPr>
      <w:r>
        <w:rPr>
          <w:b/>
          <w:bCs/>
        </w:rPr>
        <w:t xml:space="preserve">Weeks of Nov 18 and Dec 2, 2018: </w:t>
      </w:r>
      <w:r>
        <w:t>Sales reached $36,000 and $30,600 respectively, consistent with year-end holiday demand and any December promotions running that year.</w:t>
      </w:r>
    </w:p>
    <w:p w14:paraId="4F64D724" w14:textId="77777777" w:rsidR="00191D10" w:rsidRDefault="00000000">
      <w:pPr>
        <w:spacing w:after="140"/>
      </w:pPr>
      <w:r>
        <w:t>On the low side, the slowest weeks were in early January and late February — consistent, expected troughs right after the holiday season, not causes for concern.</w:t>
      </w:r>
    </w:p>
    <w:p w14:paraId="6A9E7171" w14:textId="77777777" w:rsidR="00191D10" w:rsidRDefault="00000000">
      <w:pPr>
        <w:pStyle w:val="Heading1"/>
        <w:spacing w:before="240" w:after="120"/>
      </w:pPr>
      <w:r>
        <w:t>Product Demand Segments &amp; Stocking Strategy</w:t>
      </w:r>
    </w:p>
    <w:p w14:paraId="5B72F56F" w14:textId="77777777" w:rsidR="00191D10" w:rsidRDefault="00000000">
      <w:pPr>
        <w:spacing w:after="140"/>
      </w:pPr>
      <w:r>
        <w:t>We grouped all 17 product sub-categories into four demand patterns based on sales volume, growth rate, and volatility, and recommend a different stocking approach for each: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3900"/>
        <w:gridCol w:w="3000"/>
      </w:tblGrid>
      <w:tr w:rsidR="00191D10" w14:paraId="7225D82F" w14:textId="77777777">
        <w:tc>
          <w:tcPr>
            <w:tcW w:w="2450" w:type="dxa"/>
            <w:shd w:val="clear" w:color="auto" w:fill="2E5B8A"/>
            <w:tcMar>
              <w:top w:w="80" w:type="dxa"/>
              <w:left w:w="100" w:type="dxa"/>
              <w:bottom w:w="80" w:type="dxa"/>
              <w:right w:w="100" w:type="dxa"/>
            </w:tcMar>
          </w:tcPr>
          <w:p w14:paraId="643E870D" w14:textId="77777777" w:rsidR="00191D10" w:rsidRDefault="00000000">
            <w:r>
              <w:rPr>
                <w:b/>
                <w:bCs/>
                <w:color w:val="FFFFFF"/>
                <w:sz w:val="19"/>
                <w:szCs w:val="19"/>
              </w:rPr>
              <w:t>Segment</w:t>
            </w:r>
          </w:p>
        </w:tc>
        <w:tc>
          <w:tcPr>
            <w:tcW w:w="3900" w:type="dxa"/>
            <w:shd w:val="clear" w:color="auto" w:fill="2E5B8A"/>
            <w:tcMar>
              <w:top w:w="80" w:type="dxa"/>
              <w:left w:w="100" w:type="dxa"/>
              <w:bottom w:w="80" w:type="dxa"/>
              <w:right w:w="100" w:type="dxa"/>
            </w:tcMar>
          </w:tcPr>
          <w:p w14:paraId="4DCFF4DC" w14:textId="77777777" w:rsidR="00191D10" w:rsidRDefault="00000000">
            <w:r>
              <w:rPr>
                <w:b/>
                <w:bCs/>
                <w:color w:val="FFFFFF"/>
                <w:sz w:val="19"/>
                <w:szCs w:val="19"/>
              </w:rPr>
              <w:t>Sub-Categories</w:t>
            </w:r>
          </w:p>
        </w:tc>
        <w:tc>
          <w:tcPr>
            <w:tcW w:w="3000" w:type="dxa"/>
            <w:shd w:val="clear" w:color="auto" w:fill="2E5B8A"/>
            <w:tcMar>
              <w:top w:w="80" w:type="dxa"/>
              <w:left w:w="100" w:type="dxa"/>
              <w:bottom w:w="80" w:type="dxa"/>
              <w:right w:w="100" w:type="dxa"/>
            </w:tcMar>
          </w:tcPr>
          <w:p w14:paraId="3DF16E6B" w14:textId="77777777" w:rsidR="00191D10" w:rsidRDefault="00000000">
            <w:r>
              <w:rPr>
                <w:b/>
                <w:bCs/>
                <w:color w:val="FFFFFF"/>
                <w:sz w:val="19"/>
                <w:szCs w:val="19"/>
              </w:rPr>
              <w:t>Stocking Strategy</w:t>
            </w:r>
          </w:p>
        </w:tc>
      </w:tr>
      <w:tr w:rsidR="00191D10" w14:paraId="4D0BFB97" w14:textId="77777777">
        <w:tc>
          <w:tcPr>
            <w:tcW w:w="2450" w:type="dxa"/>
            <w:tcMar>
              <w:top w:w="80" w:type="dxa"/>
              <w:left w:w="100" w:type="dxa"/>
              <w:bottom w:w="80" w:type="dxa"/>
              <w:right w:w="100" w:type="dxa"/>
            </w:tcMar>
          </w:tcPr>
          <w:p w14:paraId="30E370B2" w14:textId="77777777" w:rsidR="00191D10" w:rsidRDefault="00000000">
            <w:r>
              <w:rPr>
                <w:sz w:val="19"/>
                <w:szCs w:val="19"/>
              </w:rPr>
              <w:t>High Volume, Stable Demand</w:t>
            </w:r>
          </w:p>
        </w:tc>
        <w:tc>
          <w:tcPr>
            <w:tcW w:w="3900" w:type="dxa"/>
            <w:tcMar>
              <w:top w:w="80" w:type="dxa"/>
              <w:left w:w="100" w:type="dxa"/>
              <w:bottom w:w="80" w:type="dxa"/>
              <w:right w:w="100" w:type="dxa"/>
            </w:tcMar>
          </w:tcPr>
          <w:p w14:paraId="20672C9D" w14:textId="77777777" w:rsidR="00191D10" w:rsidRDefault="00000000">
            <w:r>
              <w:rPr>
                <w:sz w:val="19"/>
                <w:szCs w:val="19"/>
              </w:rPr>
              <w:t>Accessories, Binders, Chairs, Phones, Storage, Tables</w:t>
            </w:r>
          </w:p>
        </w:tc>
        <w:tc>
          <w:tcPr>
            <w:tcW w:w="3000" w:type="dxa"/>
            <w:tcMar>
              <w:top w:w="80" w:type="dxa"/>
              <w:left w:w="100" w:type="dxa"/>
              <w:bottom w:w="80" w:type="dxa"/>
              <w:right w:w="100" w:type="dxa"/>
            </w:tcMar>
          </w:tcPr>
          <w:p w14:paraId="3127559B" w14:textId="77777777" w:rsidR="00191D10" w:rsidRDefault="00000000">
            <w:r>
              <w:rPr>
                <w:sz w:val="19"/>
                <w:szCs w:val="19"/>
              </w:rPr>
              <w:t>Standard reorder-point stock; low forecasting risk</w:t>
            </w:r>
          </w:p>
        </w:tc>
      </w:tr>
      <w:tr w:rsidR="00191D10" w14:paraId="58821674" w14:textId="77777777">
        <w:tc>
          <w:tcPr>
            <w:tcW w:w="2450" w:type="dxa"/>
            <w:tcMar>
              <w:top w:w="80" w:type="dxa"/>
              <w:left w:w="100" w:type="dxa"/>
              <w:bottom w:w="80" w:type="dxa"/>
              <w:right w:w="100" w:type="dxa"/>
            </w:tcMar>
          </w:tcPr>
          <w:p w14:paraId="5FBFB95A" w14:textId="77777777" w:rsidR="00191D10" w:rsidRDefault="00000000">
            <w:r>
              <w:rPr>
                <w:sz w:val="19"/>
                <w:szCs w:val="19"/>
              </w:rPr>
              <w:t>Growing Demand</w:t>
            </w:r>
          </w:p>
        </w:tc>
        <w:tc>
          <w:tcPr>
            <w:tcW w:w="3900" w:type="dxa"/>
            <w:tcMar>
              <w:top w:w="80" w:type="dxa"/>
              <w:left w:w="100" w:type="dxa"/>
              <w:bottom w:w="80" w:type="dxa"/>
              <w:right w:w="100" w:type="dxa"/>
            </w:tcMar>
          </w:tcPr>
          <w:p w14:paraId="5936A84E" w14:textId="77777777" w:rsidR="00191D10" w:rsidRDefault="00000000">
            <w:r>
              <w:rPr>
                <w:sz w:val="19"/>
                <w:szCs w:val="19"/>
              </w:rPr>
              <w:t>Appliances, Art, Bookcases, Envelopes, Fasteners, Furnishings, Labels, Paper, Supplies</w:t>
            </w:r>
          </w:p>
        </w:tc>
        <w:tc>
          <w:tcPr>
            <w:tcW w:w="3000" w:type="dxa"/>
            <w:tcMar>
              <w:top w:w="80" w:type="dxa"/>
              <w:left w:w="100" w:type="dxa"/>
              <w:bottom w:w="80" w:type="dxa"/>
              <w:right w:w="100" w:type="dxa"/>
            </w:tcMar>
          </w:tcPr>
          <w:p w14:paraId="20E3A6C8" w14:textId="77777777" w:rsidR="00191D10" w:rsidRDefault="00000000">
            <w:r>
              <w:rPr>
                <w:sz w:val="19"/>
                <w:szCs w:val="19"/>
              </w:rPr>
              <w:t>Increase reorder quantities ahead of trend</w:t>
            </w:r>
          </w:p>
        </w:tc>
      </w:tr>
      <w:tr w:rsidR="00191D10" w14:paraId="7CD333EF" w14:textId="77777777">
        <w:tc>
          <w:tcPr>
            <w:tcW w:w="2450" w:type="dxa"/>
            <w:tcMar>
              <w:top w:w="80" w:type="dxa"/>
              <w:left w:w="100" w:type="dxa"/>
              <w:bottom w:w="80" w:type="dxa"/>
              <w:right w:w="100" w:type="dxa"/>
            </w:tcMar>
          </w:tcPr>
          <w:p w14:paraId="11A44B24" w14:textId="77777777" w:rsidR="00191D10" w:rsidRDefault="00000000">
            <w:r>
              <w:rPr>
                <w:sz w:val="19"/>
                <w:szCs w:val="19"/>
              </w:rPr>
              <w:t>Low Volume, High Volatility</w:t>
            </w:r>
          </w:p>
        </w:tc>
        <w:tc>
          <w:tcPr>
            <w:tcW w:w="3900" w:type="dxa"/>
            <w:tcMar>
              <w:top w:w="80" w:type="dxa"/>
              <w:left w:w="100" w:type="dxa"/>
              <w:bottom w:w="80" w:type="dxa"/>
              <w:right w:w="100" w:type="dxa"/>
            </w:tcMar>
          </w:tcPr>
          <w:p w14:paraId="66E3663D" w14:textId="77777777" w:rsidR="00191D10" w:rsidRDefault="00000000">
            <w:r>
              <w:rPr>
                <w:sz w:val="19"/>
                <w:szCs w:val="19"/>
              </w:rPr>
              <w:t>Copiers</w:t>
            </w:r>
          </w:p>
        </w:tc>
        <w:tc>
          <w:tcPr>
            <w:tcW w:w="3000" w:type="dxa"/>
            <w:tcMar>
              <w:top w:w="80" w:type="dxa"/>
              <w:left w:w="100" w:type="dxa"/>
              <w:bottom w:w="80" w:type="dxa"/>
              <w:right w:w="100" w:type="dxa"/>
            </w:tcMar>
          </w:tcPr>
          <w:p w14:paraId="3CD61AE9" w14:textId="77777777" w:rsidR="00191D10" w:rsidRDefault="00000000">
            <w:r>
              <w:rPr>
                <w:sz w:val="19"/>
                <w:szCs w:val="19"/>
              </w:rPr>
              <w:t>Keep a larger buffer relative to volume; avoid big fixed orders</w:t>
            </w:r>
          </w:p>
        </w:tc>
      </w:tr>
      <w:tr w:rsidR="00191D10" w14:paraId="4FD31363" w14:textId="77777777">
        <w:tc>
          <w:tcPr>
            <w:tcW w:w="2450" w:type="dxa"/>
            <w:tcMar>
              <w:top w:w="80" w:type="dxa"/>
              <w:left w:w="100" w:type="dxa"/>
              <w:bottom w:w="80" w:type="dxa"/>
              <w:right w:w="100" w:type="dxa"/>
            </w:tcMar>
          </w:tcPr>
          <w:p w14:paraId="4D7C491E" w14:textId="77777777" w:rsidR="00191D10" w:rsidRDefault="00000000">
            <w:r>
              <w:rPr>
                <w:sz w:val="19"/>
                <w:szCs w:val="19"/>
              </w:rPr>
              <w:t>Declining Demand</w:t>
            </w:r>
          </w:p>
        </w:tc>
        <w:tc>
          <w:tcPr>
            <w:tcW w:w="3900" w:type="dxa"/>
            <w:tcMar>
              <w:top w:w="80" w:type="dxa"/>
              <w:left w:w="100" w:type="dxa"/>
              <w:bottom w:w="80" w:type="dxa"/>
              <w:right w:w="100" w:type="dxa"/>
            </w:tcMar>
          </w:tcPr>
          <w:p w14:paraId="340DCFF4" w14:textId="77777777" w:rsidR="00191D10" w:rsidRDefault="00000000">
            <w:r>
              <w:rPr>
                <w:sz w:val="19"/>
                <w:szCs w:val="19"/>
              </w:rPr>
              <w:t>Machines</w:t>
            </w:r>
          </w:p>
        </w:tc>
        <w:tc>
          <w:tcPr>
            <w:tcW w:w="3000" w:type="dxa"/>
            <w:tcMar>
              <w:top w:w="80" w:type="dxa"/>
              <w:left w:w="100" w:type="dxa"/>
              <w:bottom w:w="80" w:type="dxa"/>
              <w:right w:w="100" w:type="dxa"/>
            </w:tcMar>
          </w:tcPr>
          <w:p w14:paraId="10EF8522" w14:textId="77777777" w:rsidR="00191D10" w:rsidRDefault="00000000">
            <w:r>
              <w:rPr>
                <w:sz w:val="19"/>
                <w:szCs w:val="19"/>
              </w:rPr>
              <w:t>Reduce standing inventory; review for phase-out</w:t>
            </w:r>
          </w:p>
        </w:tc>
      </w:tr>
    </w:tbl>
    <w:p w14:paraId="6F9B92FB" w14:textId="77777777" w:rsidR="00191D10" w:rsidRDefault="00000000">
      <w:pPr>
        <w:spacing w:after="60"/>
      </w:pPr>
      <w:r>
        <w:br/>
      </w:r>
    </w:p>
    <w:p w14:paraId="3E62951B" w14:textId="77777777" w:rsidR="00191D10" w:rsidRDefault="00000000">
      <w:pPr>
        <w:pStyle w:val="Heading1"/>
        <w:spacing w:before="240" w:after="120"/>
      </w:pPr>
      <w:r>
        <w:t>Business Recommendations</w:t>
      </w:r>
    </w:p>
    <w:p w14:paraId="66FEF244" w14:textId="77777777" w:rsidR="00191D10" w:rsidRDefault="00000000">
      <w:pPr>
        <w:pStyle w:val="ListParagraph"/>
        <w:numPr>
          <w:ilvl w:val="0"/>
          <w:numId w:val="2"/>
        </w:numPr>
        <w:spacing w:after="90"/>
      </w:pPr>
      <w:r>
        <w:rPr>
          <w:b/>
          <w:bCs/>
        </w:rPr>
        <w:t xml:space="preserve">1. Build safety stock ahead of the Nov-Dec peak, then draw it down fast in Jan-Feb. </w:t>
      </w:r>
      <w:r>
        <w:t>The historical data shows Nov/Dec sales run 2-3x a typical month; use the January/February forecast above to right-size post-holiday inventory, not the November/December run rate, to avoid carrying excess stock into the slow season.</w:t>
      </w:r>
    </w:p>
    <w:p w14:paraId="5DA10327" w14:textId="77777777" w:rsidR="00191D10" w:rsidRDefault="00000000">
      <w:pPr>
        <w:pStyle w:val="ListParagraph"/>
        <w:numPr>
          <w:ilvl w:val="0"/>
          <w:numId w:val="2"/>
        </w:numPr>
        <w:spacing w:after="90"/>
      </w:pPr>
      <w:r>
        <w:rPr>
          <w:b/>
          <w:bCs/>
        </w:rPr>
        <w:t xml:space="preserve">2. Prioritize the East region for expansion, and investigate the South region's 2016 dip. </w:t>
      </w:r>
      <w:r>
        <w:t>East has grown every year since 2015 while South dropped sharply in 2016; shifting incremental distribution and marketing investment toward East (and monitoring South more closely) follows the data rather than assumptions about historical performance.</w:t>
      </w:r>
    </w:p>
    <w:p w14:paraId="0502D0F4" w14:textId="77777777" w:rsidR="00191D10" w:rsidRDefault="00000000">
      <w:pPr>
        <w:pStyle w:val="ListParagraph"/>
        <w:numPr>
          <w:ilvl w:val="0"/>
          <w:numId w:val="2"/>
        </w:numPr>
        <w:spacing w:after="90"/>
      </w:pPr>
      <w:r>
        <w:rPr>
          <w:b/>
          <w:bCs/>
        </w:rPr>
        <w:t xml:space="preserve">3. Re-evaluate the Machines product line. </w:t>
      </w:r>
      <w:r>
        <w:t>Machines is the only sub-category with both negative growth and high volatility — the combination that most often precedes write-downs. A review of pricing, promotion, or phase-out for this line would reduce carrying-cost risk.</w:t>
      </w:r>
    </w:p>
    <w:p w14:paraId="5816D5B0" w14:textId="77777777" w:rsidR="00191D10" w:rsidRDefault="00000000">
      <w:pPr>
        <w:pStyle w:val="Heading1"/>
        <w:spacing w:before="240" w:after="120"/>
      </w:pPr>
      <w:r>
        <w:t>Risk &amp; Limitation</w:t>
      </w:r>
    </w:p>
    <w:p w14:paraId="7F10B1DA" w14:textId="77777777" w:rsidR="00191D10" w:rsidRDefault="00000000">
      <w:pPr>
        <w:spacing w:after="140"/>
      </w:pPr>
      <w:r>
        <w:t>This system is built on four years of internal order data only. It does not account for external factors — competitor promotions, marketing spend, stockouts, or macroeconomic shifts — that could also explain sales swings, including the anomalies flagged above. Forecast accuracy should also be expected to degrade the further out we project (our recursive forecasting approach compounds small errors month over month), so we recommend re-running this analysis monthly as new actuals arrive rather than treating this quarter's forecast as fixed.</w:t>
      </w:r>
    </w:p>
    <w:sectPr w:rsidR="00191D10">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D1F92"/>
    <w:multiLevelType w:val="hybridMultilevel"/>
    <w:tmpl w:val="AF8C208C"/>
    <w:lvl w:ilvl="0" w:tplc="07DC0462">
      <w:start w:val="1"/>
      <w:numFmt w:val="bullet"/>
      <w:lvlText w:val="•"/>
      <w:lvlJc w:val="left"/>
      <w:pPr>
        <w:ind w:left="360" w:hanging="215"/>
      </w:pPr>
    </w:lvl>
    <w:lvl w:ilvl="1" w:tplc="9ACAD2F6">
      <w:numFmt w:val="decimal"/>
      <w:lvlText w:val=""/>
      <w:lvlJc w:val="left"/>
    </w:lvl>
    <w:lvl w:ilvl="2" w:tplc="C232967E">
      <w:numFmt w:val="decimal"/>
      <w:lvlText w:val=""/>
      <w:lvlJc w:val="left"/>
    </w:lvl>
    <w:lvl w:ilvl="3" w:tplc="C6A0A572">
      <w:numFmt w:val="decimal"/>
      <w:lvlText w:val=""/>
      <w:lvlJc w:val="left"/>
    </w:lvl>
    <w:lvl w:ilvl="4" w:tplc="74EAD026">
      <w:numFmt w:val="decimal"/>
      <w:lvlText w:val=""/>
      <w:lvlJc w:val="left"/>
    </w:lvl>
    <w:lvl w:ilvl="5" w:tplc="EB56C2A8">
      <w:numFmt w:val="decimal"/>
      <w:lvlText w:val=""/>
      <w:lvlJc w:val="left"/>
    </w:lvl>
    <w:lvl w:ilvl="6" w:tplc="3BE65B18">
      <w:numFmt w:val="decimal"/>
      <w:lvlText w:val=""/>
      <w:lvlJc w:val="left"/>
    </w:lvl>
    <w:lvl w:ilvl="7" w:tplc="FB5A7500">
      <w:numFmt w:val="decimal"/>
      <w:lvlText w:val=""/>
      <w:lvlJc w:val="left"/>
    </w:lvl>
    <w:lvl w:ilvl="8" w:tplc="19FEACA6">
      <w:numFmt w:val="decimal"/>
      <w:lvlText w:val=""/>
      <w:lvlJc w:val="left"/>
    </w:lvl>
  </w:abstractNum>
  <w:abstractNum w:abstractNumId="1" w15:restartNumberingAfterBreak="0">
    <w:nsid w:val="7DD401EA"/>
    <w:multiLevelType w:val="hybridMultilevel"/>
    <w:tmpl w:val="2DD81CB0"/>
    <w:lvl w:ilvl="0" w:tplc="DCAAEB56">
      <w:start w:val="1"/>
      <w:numFmt w:val="bullet"/>
      <w:lvlText w:val="●"/>
      <w:lvlJc w:val="left"/>
      <w:pPr>
        <w:ind w:left="720" w:hanging="360"/>
      </w:pPr>
    </w:lvl>
    <w:lvl w:ilvl="1" w:tplc="FF32B966">
      <w:start w:val="1"/>
      <w:numFmt w:val="bullet"/>
      <w:lvlText w:val="○"/>
      <w:lvlJc w:val="left"/>
      <w:pPr>
        <w:ind w:left="1440" w:hanging="360"/>
      </w:pPr>
    </w:lvl>
    <w:lvl w:ilvl="2" w:tplc="EDB848D2">
      <w:start w:val="1"/>
      <w:numFmt w:val="bullet"/>
      <w:lvlText w:val="■"/>
      <w:lvlJc w:val="left"/>
      <w:pPr>
        <w:ind w:left="2160" w:hanging="360"/>
      </w:pPr>
    </w:lvl>
    <w:lvl w:ilvl="3" w:tplc="1C984FDA">
      <w:start w:val="1"/>
      <w:numFmt w:val="bullet"/>
      <w:lvlText w:val="●"/>
      <w:lvlJc w:val="left"/>
      <w:pPr>
        <w:ind w:left="2880" w:hanging="360"/>
      </w:pPr>
    </w:lvl>
    <w:lvl w:ilvl="4" w:tplc="B6FA3264">
      <w:start w:val="1"/>
      <w:numFmt w:val="bullet"/>
      <w:lvlText w:val="○"/>
      <w:lvlJc w:val="left"/>
      <w:pPr>
        <w:ind w:left="3600" w:hanging="360"/>
      </w:pPr>
    </w:lvl>
    <w:lvl w:ilvl="5" w:tplc="9D066E60">
      <w:start w:val="1"/>
      <w:numFmt w:val="bullet"/>
      <w:lvlText w:val="■"/>
      <w:lvlJc w:val="left"/>
      <w:pPr>
        <w:ind w:left="4320" w:hanging="360"/>
      </w:pPr>
    </w:lvl>
    <w:lvl w:ilvl="6" w:tplc="B0AC3E7E">
      <w:start w:val="1"/>
      <w:numFmt w:val="bullet"/>
      <w:lvlText w:val="●"/>
      <w:lvlJc w:val="left"/>
      <w:pPr>
        <w:ind w:left="5040" w:hanging="360"/>
      </w:pPr>
    </w:lvl>
    <w:lvl w:ilvl="7" w:tplc="B5144D20">
      <w:start w:val="1"/>
      <w:numFmt w:val="bullet"/>
      <w:lvlText w:val="●"/>
      <w:lvlJc w:val="left"/>
      <w:pPr>
        <w:ind w:left="5760" w:hanging="360"/>
      </w:pPr>
    </w:lvl>
    <w:lvl w:ilvl="8" w:tplc="43FEE350">
      <w:start w:val="1"/>
      <w:numFmt w:val="bullet"/>
      <w:lvlText w:val="●"/>
      <w:lvlJc w:val="left"/>
      <w:pPr>
        <w:ind w:left="6480" w:hanging="360"/>
      </w:pPr>
    </w:lvl>
  </w:abstractNum>
  <w:num w:numId="1" w16cid:durableId="1884101571">
    <w:abstractNumId w:val="1"/>
    <w:lvlOverride w:ilvl="0">
      <w:startOverride w:val="1"/>
    </w:lvlOverride>
  </w:num>
  <w:num w:numId="2" w16cid:durableId="6913448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D10"/>
    <w:rsid w:val="000F7365"/>
    <w:rsid w:val="00191D10"/>
    <w:rsid w:val="002D0903"/>
    <w:rsid w:val="00EC11D5"/>
    <w:rsid w:val="00ED08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8AD98"/>
  <w15:docId w15:val="{FD0FA379-B6FF-4F36-B3A8-FD54F7E99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858</Words>
  <Characters>4896</Characters>
  <Application>Microsoft Office Word</Application>
  <DocSecurity>0</DocSecurity>
  <Lines>40</Lines>
  <Paragraphs>11</Paragraphs>
  <ScaleCrop>false</ScaleCrop>
  <Company/>
  <LinksUpToDate>false</LinksUpToDate>
  <CharactersWithSpaces>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Jangid</cp:lastModifiedBy>
  <cp:revision>3</cp:revision>
  <dcterms:created xsi:type="dcterms:W3CDTF">2026-07-11T01:50:00Z</dcterms:created>
  <dcterms:modified xsi:type="dcterms:W3CDTF">2026-07-13T17:14:00Z</dcterms:modified>
</cp:coreProperties>
</file>