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20.0"/>
        </w:rPr>
        <w:t xml:space="preserve">SYSTEM ENGINEERING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48.0"/>
        </w:rPr>
        <w:t xml:space="preserve">System Architecture Documentation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rFonts w:ascii="Calibri" w:eastAsia="Calibri" w:hAnsi="Calibri" w:cs="Calibri"/>
          <w:i w:val="true"/>
          <w:color w:val="64748B"/>
          <w:sz w:val="26.0"/>
        </w:rPr>
        <w:t xml:space="preserve">Tiered MERN Client-Server Architecture, Security Boundaries, and Data Flow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rFonts w:ascii="Calibri" w:eastAsia="Calibri" w:hAnsi="Calibri" w:cs="Calibri"/>
          <w:color w:val="0F172A"/>
          <w:sz w:val="19.0"/>
        </w:rPr>
        <w:t xml:space="preserve">Author: Rahul Ji Ara  |  Platform: UdyamPath MERN  |  Status: Production-Ready  |  Version: 1.0.0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80.0"/>
        <w:pBdr>
          <w:bottom w:val="single" w:color="2F8F78" w:sz="12" w:space="1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1. Architectural Overview &amp; Design Patterns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UdyamPath is architected on a decoupled, multi-tier MERN (MongoDB, Express.js, React 18, Node.js) architecture. The design emphasizes high throughput, low latency, clear domain boundaries, and zero-session stateless authentication.</w:t>
      </w:r>
    </w:p>
    <w:tbl>
      <w:tblPr>
        <w:tblStyle w:val="9712489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none" w:color="000000" w:sz="0" w:space="0"/>
              <w:left w:val="single" w:color="2F8F78" w:sz="24" w:space="0"/>
              <w:bottom w:val="none" w:color="000000" w:sz="0" w:space="0"/>
              <w:right w:val="none" w:color="000000" w:sz="0" w:space="0"/>
            </w:tcBorders>
            <w:shd w:fill="E8F5F1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2F8F78"/>
                <w:sz w:val="20.0"/>
              </w:rPr>
              <w:t xml:space="preserve">[ARCHITECTURE PRINCIPLE] </w:t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The decoupled architecture allows the React 18 Single-Page Application (SPA) to be statically served and distributed via Edge CDNs, while the Node.js Express REST API operates independently as a scalable microservice layer connected to MongoDB Atlas.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1.1 Tiered Layer Breakdown</w:t>
      </w:r>
    </w:p>
    <w:tbl>
      <w:tblPr>
        <w:tblStyle w:val="6533783"/>
        <w:tblW w:w="9360" w:type="dxa"/>
        <w:jc w:val="center"/>
        <w:tblLayout w:type="fixed"/>
        <w:tblLook w:val="0000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Tier / Layer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Technology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Responsibilities &amp; Capabilities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1. Presentation Tier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React 18, Vite 6, Tailwind CSS, Recharts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Dynamic responsive UI, client-side routing, AuthContext state hydration, SVG visual analytics, responsive layout.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2. Gateway / Proxy Tier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Vite Dev Proxy / NGINX Ingress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Reverse proxying /api requests to backend, SSL termination, path rewriting, asset caching.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3. Application / API Tier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Node.js (ESM), Express.js 4.21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RESTful routing, JWT auth guards, RBAC authorization, input validation, domain business logic controllers.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4. Security Middleware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Helmet, CORS, Rate-Limit, bcryptjs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HTTP header hardening, origin whitelisting, IP request throttling, salted password hashing.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5. Persistence / Data Tier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MongoDB Atlas, Mongoose 8.23 ODM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Document storage, relational schema validation, compound unique indexing, aggregation pipelines.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2. Data Flow Architecture (DFD)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2.1 DFD Level 0 (Context Level Diagram)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At the system boundary, external actors interact with UdyamPath via structured secure channels: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Student Actor: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Submits profile credentials, verified links, drive applications, and executes offer acceptances; receives drive listings, round schedules, and offer letters.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TPO &amp; Admin Actor: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Configures placement drives, sets strict eligibility filters, shortlists candidates, schedules interviews, and exports NIRF/NAAC accreditation tables.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HOD Actor: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Reviews departmental student profiles, monitors unplaced student lists, verifies academic metrics, and analyzes branch placement rates.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6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Recruiter Actor: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Publishes corporate job postings, evaluates candidate portfolios, logs interview scores, and issues digital offer letters.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2.2 DFD Level 1 (Subsystem Decomposition)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internal processing is partitioned into 6 cohesive subsystems: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1.0 Authentication &amp; Identity: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Validates credentials, issues JWT bearer tokens, enforces RBAC guards.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2.0 Student Portfolio Engine: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Maintains academic history, verified links, skills, and placement status.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3.0 Placement Drive Engine: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Manages job profiles, CTC breakups, and automated eligibility rule validation.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4.0 Application &amp; Interview Engine: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Coordinates candidate stage transitions, online/offline rounds, and interviewer scores.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5.0 Offers &amp; Placements Engine: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Issues job offers, processes candidate decisions, and creates immutable placement records.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6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6.0 Analytics &amp; Accreditation Engine: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Aggregates real-time hiring velocity, department ratios, and generates accreditation tables.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3. Sequence Flows &amp; Operational Protocols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3.1 Authentication &amp; Session Hydration Sequence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1. Client submits email and password via POST /api/auth/login.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2. Express server validates request body and queries MongoDB Users collection for matching email.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3. Server executes bcrypt.compare() with salt rounds verification against stored hash.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4. On match, server signs HMAC-SHA256 JWT containing { id, role, email } with 7-day expiration.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5. Client AuthContext receives token and user payload, saving token into browser localStorage.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6. Subsequent Axios API calls automatically attach Authorization: Bearer &lt;token&gt; header.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3.2 Drive Application &amp; Eligibility Verification Sequence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1. Student initiates application via POST /api/applications with driveId.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2. Backend auth middleware verifies valid JWT and ensures caller role is 'STUDENT'.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3. Application controller fetches Drive criteria (min CGPA, max backlogs, eligible branches, deadline).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4. Controller queries Student profile: checks branch match, verifies CGPA &gt;= minCGPA, checks backlogs &lt;= allowedBacklogs.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5. Controller checks compound unique index { student, drive } to ensure no existing application exists.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6. New Application document is inserted with status 'Applied', and Drive applicationsCount is incremented.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4. Security Architecture &amp; Threat Defense</w:t>
      </w:r>
    </w:p>
    <w:tbl>
      <w:tblPr>
        <w:tblStyle w:val="5221444"/>
        <w:tblW w:w="9360" w:type="dxa"/>
        <w:jc w:val="center"/>
        <w:tblLayout w:type="fixed"/>
        <w:tblLook w:val="0000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Threat Vector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OWASP Classification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UdyamPath Defense Mechanism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Credential Sniffing &amp; Brute Force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A07:2021 Identification &amp; Auth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bcryptjs salt hashing (&gt;= 10 rounds), express-rate-limit (1000 req/15min).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NoSQL Injection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A03:2021 Injection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Mongoose schema casting, strict type enforcement, sanitized query objects.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Cross-Site Scripting (XSS)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A03:2021 Injection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React auto-escaped JSX rendering, Helmet X-XSS-Protection &amp; CSP headers.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Unauthorized Endpoint Access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A01:2021 Broken Access Control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JWT signature verification + roleMiddleware(['ADMIN', 'TPO']).</w:t>
            </w:r>
          </w:p>
        </w:tc>
      </w:tr>
      <w:tr>
        <w:trPr/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Cross-Origin Abuse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A05:2021 Security Misconfiguration</w:t>
            </w:r>
          </w:p>
        </w:tc>
        <w:tc>
          <w:tcPr>
            <w:tcW w:w="3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Strict CORS policy whitelisting trusted frontend origins.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5. Architectural Decision Records (ADR)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Key engineering decisions and their technical rationale: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ADR-01 (Stack Selection):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Selected MERN stack over monolithic Django/Rails to enable rich client-side data visualizations with Recharts and rapid SPA navigation.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ADR-02 (Authentication):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Adopted stateless JWT bearer authentication over server-side Express sessions to eliminate Redis dependency and simplify horizontal scaling.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6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ADR-03 (Data Modeling):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Selected Mongoose with compound unique indexes to guarantee relational consistency in a flexible document database.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footer"/>
      <w:jc w:val="center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— College Placement Management System  |  System Engineering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jc w:val="right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| System Architecture Documentation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Theme="minorHAnsi" w:eastAsiaTheme="minorHAnsi" w:hAnsiTheme="minorHAnsi" w:cstheme="minorHAnsi"/>
      <w:sz w:val="24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9712489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653378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5221444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