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2F8F78"/>
          <w:sz w:val="20"/>
        </w:rPr>
        <w:t>COMPREHENSIVE PROJECT GUIDE</w:t>
      </w:r>
    </w:p>
    <w:p>
      <w:pPr>
        <w:jc w:val="left"/>
      </w:pPr>
      <w:r>
        <w:rPr>
          <w:rFonts w:ascii="Calibri" w:hAnsi="Calibri"/>
          <w:b/>
          <w:color w:val="2F8F78"/>
          <w:sz w:val="48"/>
        </w:rPr>
        <w:t>UdyamPath — Technical &amp; Non-Technical Comprehensive Guide</w:t>
      </w:r>
    </w:p>
    <w:p>
      <w:pPr>
        <w:jc w:val="left"/>
      </w:pPr>
      <w:r>
        <w:rPr>
          <w:rFonts w:ascii="Calibri" w:hAnsi="Calibri"/>
          <w:i/>
          <w:color w:val="64748B"/>
          <w:sz w:val="26"/>
        </w:rPr>
        <w:t>Complete System Exploration, Tech Stack Deep-Dive, Layman Analogies, and Architectural Implementation Reference</w:t>
      </w:r>
    </w:p>
    <w:p>
      <w:r>
        <w:rPr>
          <w:rFonts w:ascii="Calibri" w:hAnsi="Calibri"/>
          <w:color w:val="0F172A"/>
          <w:sz w:val="19"/>
        </w:rPr>
        <w:t>Author: Rahul Sharma  |  Platform: UdyamPath MERN  |  Status: Production-Ready  |  Version: 1.0.0</w:t>
      </w:r>
    </w:p>
    <w:p>
      <w:pPr>
        <w:spacing w:before="80" w:after="240"/>
        <w:pBdr>
          <w:bottom w:val="single" w:sz="12" w:space="1" w:color="2F8F78"/>
        </w:pBdr>
      </w:pPr>
    </w:p>
    <w:p>
      <w:pPr>
        <w:keepNext/>
        <w:spacing w:before="360" w:after="120"/>
      </w:pPr>
      <w:r>
        <w:rPr>
          <w:rFonts w:ascii="Calibri" w:hAnsi="Calibri"/>
          <w:b/>
          <w:color w:val="2F8F78"/>
          <w:sz w:val="32"/>
        </w:rPr>
        <w:t>1. Executive Introduction &amp; System Overview</w:t>
      </w:r>
    </w:p>
    <w:p>
      <w:pPr>
        <w:spacing w:after="120" w:line="276" w:lineRule="auto"/>
      </w:pPr>
      <w:r>
        <w:rPr>
          <w:rFonts w:ascii="Calibri" w:hAnsi="Calibri"/>
          <w:i w:val="0"/>
          <w:color w:val="0F172A"/>
          <w:sz w:val="21"/>
        </w:rPr>
        <w:t>UdyamPath (उद्यमपथ) is a next-generation, cloud-native university placement operating system designed to replace fragmented spreadsheets, manual emails, and unverified paper processes with an automated, transparent, and accreditation-ready digital platform.</w:t>
      </w:r>
    </w:p>
    <w:p>
      <w:pPr>
        <w:spacing w:after="120" w:line="276" w:lineRule="auto"/>
      </w:pPr>
      <w:r>
        <w:rPr>
          <w:rFonts w:ascii="Calibri" w:hAnsi="Calibri"/>
          <w:i w:val="0"/>
          <w:color w:val="0F172A"/>
          <w:sz w:val="21"/>
        </w:rPr>
        <w:t>This document provides a comprehensive, two-tier discussion of UdyamPath: Part 1 delivers a clear, intuitive explanation tailored for non-technical stakeholders (university deans, recruiters, students, and evaluators), while Part 2 delivers a deep-dive engineering analysis tailored for software architects, code reviewers, and technical defense panels.</w:t>
      </w:r>
    </w:p>
    <w:tbl>
      <w:tblPr>
        <w:tblW w:type="auto" w:w="0"/>
        <w:jc w:val="center"/>
        <w:tblLayout w:type="fixed"/>
        <w:tblLook w:firstColumn="1" w:firstRow="1" w:lastColumn="0" w:lastRow="0" w:noHBand="0" w:noVBand="1" w:val="04A0"/>
      </w:tblPr>
      <w:tblGrid>
        <w:gridCol w:w="9360"/>
      </w:tblGrid>
      <w:tr>
        <w:tc>
          <w:tcPr>
            <w:tcW w:type="dxa" w:w="9360"/>
            <w:shd w:fill="E8F5F1"/>
            <w:tcBorders>
              <w:top w:val="none"/>
              <w:left w:val="single" w:sz="24" w:space="0" w:color="2F8F78"/>
              <w:bottom w:val="none"/>
              <w:right w:val="none"/>
            </w:tcBorders>
          </w:tcPr>
          <w:p>
            <w:pPr>
              <w:spacing w:before="80" w:after="80"/>
            </w:pPr>
            <w:r>
              <w:rPr>
                <w:rFonts w:ascii="Calibri" w:hAnsi="Calibri"/>
                <w:b/>
                <w:color w:val="2F8F78"/>
                <w:sz w:val="20"/>
              </w:rPr>
              <w:t xml:space="preserve">[THE PHILOSOPHY BEHIND UDYAMPATH] </w:t>
            </w:r>
            <w:r>
              <w:rPr>
                <w:rFonts w:ascii="Calibri" w:hAnsi="Calibri"/>
                <w:color w:val="0F172A"/>
                <w:sz w:val="20"/>
              </w:rPr>
              <w:t>Etymology: 'Udyam' (उद्यम: purposeful effort and dedication) + 'Path' (पथ: trajectory and direction). UdyamPath transforms raw student initiative into verified, prestigious career trajectories.</w:t>
            </w:r>
          </w:p>
        </w:tc>
      </w:tr>
    </w:tbl>
    <w:p>
      <w:pPr>
        <w:spacing w:before="40" w:after="80"/>
      </w:pPr>
    </w:p>
    <w:p>
      <w:pPr>
        <w:keepNext/>
        <w:spacing w:before="360" w:after="120"/>
      </w:pPr>
      <w:r>
        <w:rPr>
          <w:rFonts w:ascii="Calibri" w:hAnsi="Calibri"/>
          <w:b/>
          <w:color w:val="2F8F78"/>
          <w:sz w:val="32"/>
        </w:rPr>
        <w:t>2. Part 1: The Non-Technical Guide (Layman &amp; Stakeholder Edition)</w:t>
      </w:r>
    </w:p>
    <w:p>
      <w:pPr>
        <w:spacing w:after="120" w:line="276" w:lineRule="auto"/>
      </w:pPr>
      <w:r>
        <w:rPr>
          <w:rFonts w:ascii="Calibri" w:hAnsi="Calibri"/>
          <w:i w:val="0"/>
          <w:color w:val="0F172A"/>
          <w:sz w:val="21"/>
        </w:rPr>
        <w:t>To understand UdyamPath without writing a single line of code, imagine a premier 5-star restaurant where hundreds of guests arrive simultaneously, each with specific dietary requirements, while master chefs prepare distinct multi-course meals.</w:t>
      </w:r>
    </w:p>
    <w:p>
      <w:pPr>
        <w:keepNext/>
        <w:spacing w:before="280" w:after="80"/>
      </w:pPr>
      <w:r>
        <w:rPr>
          <w:rFonts w:ascii="Calibri" w:hAnsi="Calibri"/>
          <w:b/>
          <w:color w:val="24715F"/>
          <w:sz w:val="26"/>
        </w:rPr>
        <w:t>2.1 The Real-World Problem UdyamPath Solves</w:t>
      </w:r>
    </w:p>
    <w:p>
      <w:pPr>
        <w:spacing w:after="120" w:line="276" w:lineRule="auto"/>
      </w:pPr>
      <w:r>
        <w:rPr>
          <w:rFonts w:ascii="Calibri" w:hAnsi="Calibri"/>
          <w:i w:val="0"/>
          <w:color w:val="0F172A"/>
          <w:sz w:val="21"/>
        </w:rPr>
        <w:t>In traditional university placement cells, managing placements is a chaotic operational nightmare:</w:t>
      </w:r>
    </w:p>
    <w:p>
      <w:pPr>
        <w:pStyle w:val="ListBullet"/>
        <w:spacing w:after="60" w:line="276" w:lineRule="auto"/>
      </w:pPr>
      <w:r>
        <w:rPr>
          <w:rFonts w:ascii="Calibri" w:hAnsi="Calibri"/>
          <w:color w:val="0F172A"/>
          <w:sz w:val="21"/>
        </w:rPr>
        <w:t>Spreadsheet Chaos: Placement officers juggle 50+ Google Sheets that frequently get corrupted, overwritten, or mislaid.</w:t>
      </w:r>
    </w:p>
    <w:p>
      <w:pPr>
        <w:pStyle w:val="ListBullet"/>
        <w:spacing w:after="60" w:line="276" w:lineRule="auto"/>
      </w:pPr>
      <w:r>
        <w:rPr>
          <w:rFonts w:ascii="Calibri" w:hAnsi="Calibri"/>
          <w:color w:val="0F172A"/>
          <w:sz w:val="21"/>
        </w:rPr>
        <w:t>Fake CGPA &amp; Hidden Backlogs: Students sometimes misreport their grades or conceal failed subjects, leading to company disqualifications.</w:t>
      </w:r>
    </w:p>
    <w:p>
      <w:pPr>
        <w:pStyle w:val="ListBullet"/>
        <w:spacing w:after="60" w:line="276" w:lineRule="auto"/>
      </w:pPr>
      <w:r>
        <w:rPr>
          <w:rFonts w:ascii="Calibri" w:hAnsi="Calibri"/>
          <w:color w:val="0F172A"/>
          <w:sz w:val="21"/>
        </w:rPr>
        <w:t>Missed Interviews: Important interview links sent across unorganized WhatsApp groups get lost, causing candidates to miss life-changing opportunities.</w:t>
      </w:r>
    </w:p>
    <w:p>
      <w:pPr>
        <w:pStyle w:val="ListBullet"/>
        <w:spacing w:after="60" w:line="276" w:lineRule="auto"/>
      </w:pPr>
      <w:r>
        <w:rPr>
          <w:rFonts w:ascii="Calibri" w:hAnsi="Calibri"/>
          <w:color w:val="0F172A"/>
          <w:sz w:val="21"/>
        </w:rPr>
        <w:t>Accreditation Panic: Every year, compiling reports for government rankings (NIRF and NAAC) takes 3 to 4 weeks of sleepless manual calculations.</w:t>
      </w:r>
    </w:p>
    <w:p>
      <w:pPr>
        <w:spacing w:after="120" w:line="276" w:lineRule="auto"/>
      </w:pPr>
      <w:r>
        <w:rPr>
          <w:rFonts w:ascii="Calibri" w:hAnsi="Calibri"/>
          <w:i w:val="0"/>
          <w:color w:val="0F172A"/>
          <w:sz w:val="21"/>
        </w:rPr>
        <w:t>UdyamPath solves all four problems by acting as a single, synchronized digital brain for the entire university.</w:t>
      </w:r>
    </w:p>
    <w:p>
      <w:pPr>
        <w:keepNext/>
        <w:spacing w:before="280" w:after="80"/>
      </w:pPr>
      <w:r>
        <w:rPr>
          <w:rFonts w:ascii="Calibri" w:hAnsi="Calibri"/>
          <w:b/>
          <w:color w:val="24715F"/>
          <w:sz w:val="26"/>
        </w:rPr>
        <w:t>2.2 The Restaurant Analogy: How All Technologies Work Together</w:t>
      </w:r>
    </w:p>
    <w:p>
      <w:pPr>
        <w:spacing w:after="120" w:line="276" w:lineRule="auto"/>
      </w:pPr>
      <w:r>
        <w:rPr>
          <w:rFonts w:ascii="Calibri" w:hAnsi="Calibri"/>
          <w:i w:val="0"/>
          <w:color w:val="0F172A"/>
          <w:sz w:val="21"/>
        </w:rPr>
        <w:t>Here is how every technology in UdyamPath maps to an everyday real-world system:</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40"/>
            <w:shd w:fill="2F8F78"/>
            <w:tcBorders>
              <w:top w:val="single" w:sz="4" w:space="0" w:color="E2E8F0"/>
              <w:left w:val="single" w:sz="4" w:space="0" w:color="E2E8F0"/>
              <w:bottom w:val="single" w:sz="4" w:space="0" w:color="E2E8F0"/>
              <w:right w:val="single" w:sz="4" w:space="0" w:color="E2E8F0"/>
            </w:tcBorders>
          </w:tcPr>
          <w:p>
            <w:pPr>
              <w:spacing w:before="80" w:after="80"/>
              <w:jc w:val="left"/>
            </w:pPr>
            <w:r>
              <w:rPr>
                <w:rFonts w:ascii="Calibri" w:hAnsi="Calibri"/>
                <w:b/>
                <w:color w:val="FFFFFF"/>
                <w:sz w:val="20"/>
              </w:rPr>
              <w:t>Technology</w:t>
            </w:r>
          </w:p>
        </w:tc>
        <w:tc>
          <w:tcPr>
            <w:tcW w:type="dxa" w:w="2340"/>
            <w:shd w:fill="2F8F78"/>
            <w:tcBorders>
              <w:top w:val="single" w:sz="4" w:space="0" w:color="E2E8F0"/>
              <w:left w:val="single" w:sz="4" w:space="0" w:color="E2E8F0"/>
              <w:bottom w:val="single" w:sz="4" w:space="0" w:color="E2E8F0"/>
              <w:right w:val="single" w:sz="4" w:space="0" w:color="E2E8F0"/>
            </w:tcBorders>
          </w:tcPr>
          <w:p>
            <w:pPr>
              <w:spacing w:before="80" w:after="80"/>
              <w:jc w:val="left"/>
            </w:pPr>
            <w:r>
              <w:rPr>
                <w:rFonts w:ascii="Calibri" w:hAnsi="Calibri"/>
                <w:b/>
                <w:color w:val="FFFFFF"/>
                <w:sz w:val="20"/>
              </w:rPr>
              <w:t>Real-World Everyday Analogy</w:t>
            </w:r>
          </w:p>
        </w:tc>
        <w:tc>
          <w:tcPr>
            <w:tcW w:type="dxa" w:w="2340"/>
            <w:shd w:fill="2F8F78"/>
            <w:tcBorders>
              <w:top w:val="single" w:sz="4" w:space="0" w:color="E2E8F0"/>
              <w:left w:val="single" w:sz="4" w:space="0" w:color="E2E8F0"/>
              <w:bottom w:val="single" w:sz="4" w:space="0" w:color="E2E8F0"/>
              <w:right w:val="single" w:sz="4" w:space="0" w:color="E2E8F0"/>
            </w:tcBorders>
          </w:tcPr>
          <w:p>
            <w:pPr>
              <w:spacing w:before="80" w:after="80"/>
              <w:jc w:val="left"/>
            </w:pPr>
            <w:r>
              <w:rPr>
                <w:rFonts w:ascii="Calibri" w:hAnsi="Calibri"/>
                <w:b/>
                <w:color w:val="FFFFFF"/>
                <w:sz w:val="20"/>
              </w:rPr>
              <w:t>What It Does in UdyamPath</w:t>
            </w:r>
          </w:p>
        </w:tc>
        <w:tc>
          <w:tcPr>
            <w:tcW w:type="dxa" w:w="2340"/>
            <w:shd w:fill="2F8F78"/>
            <w:tcBorders>
              <w:top w:val="single" w:sz="4" w:space="0" w:color="E2E8F0"/>
              <w:left w:val="single" w:sz="4" w:space="0" w:color="E2E8F0"/>
              <w:bottom w:val="single" w:sz="4" w:space="0" w:color="E2E8F0"/>
              <w:right w:val="single" w:sz="4" w:space="0" w:color="E2E8F0"/>
            </w:tcBorders>
          </w:tcPr>
          <w:p>
            <w:pPr>
              <w:spacing w:before="80" w:after="80"/>
              <w:jc w:val="left"/>
            </w:pPr>
            <w:r>
              <w:rPr>
                <w:rFonts w:ascii="Calibri" w:hAnsi="Calibri"/>
                <w:b/>
                <w:color w:val="FFFFFF"/>
                <w:sz w:val="20"/>
              </w:rPr>
              <w:t>Why It Is Indispensable</w:t>
            </w:r>
          </w:p>
        </w:tc>
      </w:tr>
      <w:tr>
        <w:tc>
          <w:tcPr>
            <w:tcW w:type="dxa" w:w="2340"/>
            <w:shd w:fill="FFFFFF"/>
            <w:tcBorders>
              <w:top w:val="single" w:sz="4" w:space="0" w:color="E2E8F0"/>
              <w:left w:val="single" w:sz="4" w:space="0" w:color="E2E8F0"/>
              <w:bottom w:val="single" w:sz="4" w:space="0" w:color="E2E8F0"/>
              <w:right w:val="single" w:sz="4" w:space="0" w:color="E2E8F0"/>
            </w:tcBorders>
          </w:tcPr>
          <w:p>
            <w:pPr>
              <w:spacing w:before="60" w:after="60"/>
              <w:jc w:val="left"/>
            </w:pPr>
            <w:r>
              <w:rPr>
                <w:rFonts w:ascii="Calibri" w:hAnsi="Calibri"/>
                <w:color w:val="0F172A"/>
                <w:sz w:val="19"/>
              </w:rPr>
              <w:t>React 18 &amp; Vite</w:t>
            </w:r>
          </w:p>
        </w:tc>
        <w:tc>
          <w:tcPr>
            <w:tcW w:type="dxa" w:w="2340"/>
            <w:shd w:fill="FFFFFF"/>
            <w:tcBorders>
              <w:top w:val="single" w:sz="4" w:space="0" w:color="E2E8F0"/>
              <w:left w:val="single" w:sz="4" w:space="0" w:color="E2E8F0"/>
              <w:bottom w:val="single" w:sz="4" w:space="0" w:color="E2E8F0"/>
              <w:right w:val="single" w:sz="4" w:space="0" w:color="E2E8F0"/>
            </w:tcBorders>
          </w:tcPr>
          <w:p>
            <w:pPr>
              <w:spacing w:before="60" w:after="60"/>
              <w:jc w:val="left"/>
            </w:pPr>
            <w:r>
              <w:rPr>
                <w:rFonts w:ascii="Calibri" w:hAnsi="Calibri"/>
                <w:color w:val="0F172A"/>
                <w:sz w:val="19"/>
              </w:rPr>
              <w:t>The Beautiful Dining Room &amp; Interactive Digital Menu</w:t>
            </w:r>
          </w:p>
        </w:tc>
        <w:tc>
          <w:tcPr>
            <w:tcW w:type="dxa" w:w="2340"/>
            <w:shd w:fill="FFFFFF"/>
            <w:tcBorders>
              <w:top w:val="single" w:sz="4" w:space="0" w:color="E2E8F0"/>
              <w:left w:val="single" w:sz="4" w:space="0" w:color="E2E8F0"/>
              <w:bottom w:val="single" w:sz="4" w:space="0" w:color="E2E8F0"/>
              <w:right w:val="single" w:sz="4" w:space="0" w:color="E2E8F0"/>
            </w:tcBorders>
          </w:tcPr>
          <w:p>
            <w:pPr>
              <w:spacing w:before="60" w:after="60"/>
              <w:jc w:val="left"/>
            </w:pPr>
            <w:r>
              <w:rPr>
                <w:rFonts w:ascii="Calibri" w:hAnsi="Calibri"/>
                <w:color w:val="0F172A"/>
                <w:sz w:val="19"/>
              </w:rPr>
              <w:t>Displays the live website, role portals, job cards, countdown timers, and 1-click buttons.</w:t>
            </w:r>
          </w:p>
        </w:tc>
        <w:tc>
          <w:tcPr>
            <w:tcW w:type="dxa" w:w="2340"/>
            <w:shd w:fill="FFFFFF"/>
            <w:tcBorders>
              <w:top w:val="single" w:sz="4" w:space="0" w:color="E2E8F0"/>
              <w:left w:val="single" w:sz="4" w:space="0" w:color="E2E8F0"/>
              <w:bottom w:val="single" w:sz="4" w:space="0" w:color="E2E8F0"/>
              <w:right w:val="single" w:sz="4" w:space="0" w:color="E2E8F0"/>
            </w:tcBorders>
          </w:tcPr>
          <w:p>
            <w:pPr>
              <w:spacing w:before="60" w:after="60"/>
              <w:jc w:val="left"/>
            </w:pPr>
            <w:r>
              <w:rPr>
                <w:rFonts w:ascii="Calibri" w:hAnsi="Calibri"/>
                <w:color w:val="0F172A"/>
                <w:sz w:val="19"/>
              </w:rPr>
              <w:t>Ensures instant visual updates without annoying browser page refreshes.</w:t>
            </w:r>
          </w:p>
        </w:tc>
      </w:tr>
      <w:tr>
        <w:tc>
          <w:tcPr>
            <w:tcW w:type="dxa" w:w="2340"/>
            <w:shd w:fill="F8FAFC"/>
            <w:tcBorders>
              <w:top w:val="single" w:sz="4" w:space="0" w:color="E2E8F0"/>
              <w:left w:val="single" w:sz="4" w:space="0" w:color="E2E8F0"/>
              <w:bottom w:val="single" w:sz="4" w:space="0" w:color="E2E8F0"/>
              <w:right w:val="single" w:sz="4" w:space="0" w:color="E2E8F0"/>
            </w:tcBorders>
          </w:tcPr>
          <w:p>
            <w:pPr>
              <w:spacing w:before="60" w:after="60"/>
              <w:jc w:val="left"/>
            </w:pPr>
            <w:r>
              <w:rPr>
                <w:rFonts w:ascii="Calibri" w:hAnsi="Calibri"/>
                <w:color w:val="0F172A"/>
                <w:sz w:val="19"/>
              </w:rPr>
              <w:t>Node.js &amp; Express.js</w:t>
            </w:r>
          </w:p>
        </w:tc>
        <w:tc>
          <w:tcPr>
            <w:tcW w:type="dxa" w:w="2340"/>
            <w:shd w:fill="F8FAFC"/>
            <w:tcBorders>
              <w:top w:val="single" w:sz="4" w:space="0" w:color="E2E8F0"/>
              <w:left w:val="single" w:sz="4" w:space="0" w:color="E2E8F0"/>
              <w:bottom w:val="single" w:sz="4" w:space="0" w:color="E2E8F0"/>
              <w:right w:val="single" w:sz="4" w:space="0" w:color="E2E8F0"/>
            </w:tcBorders>
          </w:tcPr>
          <w:p>
            <w:pPr>
              <w:spacing w:before="60" w:after="60"/>
              <w:jc w:val="left"/>
            </w:pPr>
            <w:r>
              <w:rPr>
                <w:rFonts w:ascii="Calibri" w:hAnsi="Calibri"/>
                <w:color w:val="0F172A"/>
                <w:sz w:val="19"/>
              </w:rPr>
              <w:t>The Head Waiter &amp; Kitchen Order Management System</w:t>
            </w:r>
          </w:p>
        </w:tc>
        <w:tc>
          <w:tcPr>
            <w:tcW w:type="dxa" w:w="2340"/>
            <w:shd w:fill="F8FAFC"/>
            <w:tcBorders>
              <w:top w:val="single" w:sz="4" w:space="0" w:color="E2E8F0"/>
              <w:left w:val="single" w:sz="4" w:space="0" w:color="E2E8F0"/>
              <w:bottom w:val="single" w:sz="4" w:space="0" w:color="E2E8F0"/>
              <w:right w:val="single" w:sz="4" w:space="0" w:color="E2E8F0"/>
            </w:tcBorders>
          </w:tcPr>
          <w:p>
            <w:pPr>
              <w:spacing w:before="60" w:after="60"/>
              <w:jc w:val="left"/>
            </w:pPr>
            <w:r>
              <w:rPr>
                <w:rFonts w:ascii="Calibri" w:hAnsi="Calibri"/>
                <w:color w:val="0F172A"/>
                <w:sz w:val="19"/>
              </w:rPr>
              <w:t>Receives user clicks, checks student eligibility, schedules interviews, and enforces rules.</w:t>
            </w:r>
          </w:p>
        </w:tc>
        <w:tc>
          <w:tcPr>
            <w:tcW w:type="dxa" w:w="2340"/>
            <w:shd w:fill="F8FAFC"/>
            <w:tcBorders>
              <w:top w:val="single" w:sz="4" w:space="0" w:color="E2E8F0"/>
              <w:left w:val="single" w:sz="4" w:space="0" w:color="E2E8F0"/>
              <w:bottom w:val="single" w:sz="4" w:space="0" w:color="E2E8F0"/>
              <w:right w:val="single" w:sz="4" w:space="0" w:color="E2E8F0"/>
            </w:tcBorders>
          </w:tcPr>
          <w:p>
            <w:pPr>
              <w:spacing w:before="60" w:after="60"/>
              <w:jc w:val="left"/>
            </w:pPr>
            <w:r>
              <w:rPr>
                <w:rFonts w:ascii="Calibri" w:hAnsi="Calibri"/>
                <w:color w:val="0F172A"/>
                <w:sz w:val="19"/>
              </w:rPr>
              <w:t>Processes thousands of student requests simultaneously without lagging.</w:t>
            </w:r>
          </w:p>
        </w:tc>
      </w:tr>
      <w:tr>
        <w:tc>
          <w:tcPr>
            <w:tcW w:type="dxa" w:w="2340"/>
            <w:shd w:fill="FFFFFF"/>
            <w:tcBorders>
              <w:top w:val="single" w:sz="4" w:space="0" w:color="E2E8F0"/>
              <w:left w:val="single" w:sz="4" w:space="0" w:color="E2E8F0"/>
              <w:bottom w:val="single" w:sz="4" w:space="0" w:color="E2E8F0"/>
              <w:right w:val="single" w:sz="4" w:space="0" w:color="E2E8F0"/>
            </w:tcBorders>
          </w:tcPr>
          <w:p>
            <w:pPr>
              <w:spacing w:before="60" w:after="60"/>
              <w:jc w:val="left"/>
            </w:pPr>
            <w:r>
              <w:rPr>
                <w:rFonts w:ascii="Calibri" w:hAnsi="Calibri"/>
                <w:color w:val="0F172A"/>
                <w:sz w:val="19"/>
              </w:rPr>
              <w:t>MongoDB &amp; Mongoose</w:t>
            </w:r>
          </w:p>
        </w:tc>
        <w:tc>
          <w:tcPr>
            <w:tcW w:type="dxa" w:w="2340"/>
            <w:shd w:fill="FFFFFF"/>
            <w:tcBorders>
              <w:top w:val="single" w:sz="4" w:space="0" w:color="E2E8F0"/>
              <w:left w:val="single" w:sz="4" w:space="0" w:color="E2E8F0"/>
              <w:bottom w:val="single" w:sz="4" w:space="0" w:color="E2E8F0"/>
              <w:right w:val="single" w:sz="4" w:space="0" w:color="E2E8F0"/>
            </w:tcBorders>
          </w:tcPr>
          <w:p>
            <w:pPr>
              <w:spacing w:before="60" w:after="60"/>
              <w:jc w:val="left"/>
            </w:pPr>
            <w:r>
              <w:rPr>
                <w:rFonts w:ascii="Calibri" w:hAnsi="Calibri"/>
                <w:color w:val="0F172A"/>
                <w:sz w:val="19"/>
              </w:rPr>
              <w:t>The Ultra-Secure Master Recipe Vault &amp; Filing Cabinet</w:t>
            </w:r>
          </w:p>
        </w:tc>
        <w:tc>
          <w:tcPr>
            <w:tcW w:type="dxa" w:w="2340"/>
            <w:shd w:fill="FFFFFF"/>
            <w:tcBorders>
              <w:top w:val="single" w:sz="4" w:space="0" w:color="E2E8F0"/>
              <w:left w:val="single" w:sz="4" w:space="0" w:color="E2E8F0"/>
              <w:bottom w:val="single" w:sz="4" w:space="0" w:color="E2E8F0"/>
              <w:right w:val="single" w:sz="4" w:space="0" w:color="E2E8F0"/>
            </w:tcBorders>
          </w:tcPr>
          <w:p>
            <w:pPr>
              <w:spacing w:before="60" w:after="60"/>
              <w:jc w:val="left"/>
            </w:pPr>
            <w:r>
              <w:rPr>
                <w:rFonts w:ascii="Calibri" w:hAnsi="Calibri"/>
                <w:color w:val="0F172A"/>
                <w:sz w:val="19"/>
              </w:rPr>
              <w:t>Stores student academic records, company criteria, resumes, and digital offer letters.</w:t>
            </w:r>
          </w:p>
        </w:tc>
        <w:tc>
          <w:tcPr>
            <w:tcW w:type="dxa" w:w="2340"/>
            <w:shd w:fill="FFFFFF"/>
            <w:tcBorders>
              <w:top w:val="single" w:sz="4" w:space="0" w:color="E2E8F0"/>
              <w:left w:val="single" w:sz="4" w:space="0" w:color="E2E8F0"/>
              <w:bottom w:val="single" w:sz="4" w:space="0" w:color="E2E8F0"/>
              <w:right w:val="single" w:sz="4" w:space="0" w:color="E2E8F0"/>
            </w:tcBorders>
          </w:tcPr>
          <w:p>
            <w:pPr>
              <w:spacing w:before="60" w:after="60"/>
              <w:jc w:val="left"/>
            </w:pPr>
            <w:r>
              <w:rPr>
                <w:rFonts w:ascii="Calibri" w:hAnsi="Calibri"/>
                <w:color w:val="0F172A"/>
                <w:sz w:val="19"/>
              </w:rPr>
              <w:t>Keeps data safely organized and prevents any student from applying twice to the same job.</w:t>
            </w:r>
          </w:p>
        </w:tc>
      </w:tr>
      <w:tr>
        <w:tc>
          <w:tcPr>
            <w:tcW w:type="dxa" w:w="2340"/>
            <w:shd w:fill="F8FAFC"/>
            <w:tcBorders>
              <w:top w:val="single" w:sz="4" w:space="0" w:color="E2E8F0"/>
              <w:left w:val="single" w:sz="4" w:space="0" w:color="E2E8F0"/>
              <w:bottom w:val="single" w:sz="4" w:space="0" w:color="E2E8F0"/>
              <w:right w:val="single" w:sz="4" w:space="0" w:color="E2E8F0"/>
            </w:tcBorders>
          </w:tcPr>
          <w:p>
            <w:pPr>
              <w:spacing w:before="60" w:after="60"/>
              <w:jc w:val="left"/>
            </w:pPr>
            <w:r>
              <w:rPr>
                <w:rFonts w:ascii="Calibri" w:hAnsi="Calibri"/>
                <w:color w:val="0F172A"/>
                <w:sz w:val="19"/>
              </w:rPr>
              <w:t>JWT &amp; Bcrypt</w:t>
            </w:r>
          </w:p>
        </w:tc>
        <w:tc>
          <w:tcPr>
            <w:tcW w:type="dxa" w:w="2340"/>
            <w:shd w:fill="F8FAFC"/>
            <w:tcBorders>
              <w:top w:val="single" w:sz="4" w:space="0" w:color="E2E8F0"/>
              <w:left w:val="single" w:sz="4" w:space="0" w:color="E2E8F0"/>
              <w:bottom w:val="single" w:sz="4" w:space="0" w:color="E2E8F0"/>
              <w:right w:val="single" w:sz="4" w:space="0" w:color="E2E8F0"/>
            </w:tcBorders>
          </w:tcPr>
          <w:p>
            <w:pPr>
              <w:spacing w:before="60" w:after="60"/>
              <w:jc w:val="left"/>
            </w:pPr>
            <w:r>
              <w:rPr>
                <w:rFonts w:ascii="Calibri" w:hAnsi="Calibri"/>
                <w:color w:val="0F172A"/>
                <w:sz w:val="19"/>
              </w:rPr>
              <w:t>The VIP Wristband &amp; Unpickable Bank Vault Lock</w:t>
            </w:r>
          </w:p>
        </w:tc>
        <w:tc>
          <w:tcPr>
            <w:tcW w:type="dxa" w:w="2340"/>
            <w:shd w:fill="F8FAFC"/>
            <w:tcBorders>
              <w:top w:val="single" w:sz="4" w:space="0" w:color="E2E8F0"/>
              <w:left w:val="single" w:sz="4" w:space="0" w:color="E2E8F0"/>
              <w:bottom w:val="single" w:sz="4" w:space="0" w:color="E2E8F0"/>
              <w:right w:val="single" w:sz="4" w:space="0" w:color="E2E8F0"/>
            </w:tcBorders>
          </w:tcPr>
          <w:p>
            <w:pPr>
              <w:spacing w:before="60" w:after="60"/>
              <w:jc w:val="left"/>
            </w:pPr>
            <w:r>
              <w:rPr>
                <w:rFonts w:ascii="Calibri" w:hAnsi="Calibri"/>
                <w:color w:val="0F172A"/>
                <w:sz w:val="19"/>
              </w:rPr>
              <w:t>Secures student passwords and gives each user a tamper-proof digital badge with their exact role permissions.</w:t>
            </w:r>
          </w:p>
        </w:tc>
        <w:tc>
          <w:tcPr>
            <w:tcW w:type="dxa" w:w="2340"/>
            <w:shd w:fill="F8FAFC"/>
            <w:tcBorders>
              <w:top w:val="single" w:sz="4" w:space="0" w:color="E2E8F0"/>
              <w:left w:val="single" w:sz="4" w:space="0" w:color="E2E8F0"/>
              <w:bottom w:val="single" w:sz="4" w:space="0" w:color="E2E8F0"/>
              <w:right w:val="single" w:sz="4" w:space="0" w:color="E2E8F0"/>
            </w:tcBorders>
          </w:tcPr>
          <w:p>
            <w:pPr>
              <w:spacing w:before="60" w:after="60"/>
              <w:jc w:val="left"/>
            </w:pPr>
            <w:r>
              <w:rPr>
                <w:rFonts w:ascii="Calibri" w:hAnsi="Calibri"/>
                <w:color w:val="0F172A"/>
                <w:sz w:val="19"/>
              </w:rPr>
              <w:t>Guarantees a student can never tamper with marks or access confidential TPO controls.</w:t>
            </w:r>
          </w:p>
        </w:tc>
      </w:tr>
      <w:tr>
        <w:tc>
          <w:tcPr>
            <w:tcW w:type="dxa" w:w="2340"/>
            <w:shd w:fill="FFFFFF"/>
            <w:tcBorders>
              <w:top w:val="single" w:sz="4" w:space="0" w:color="E2E8F0"/>
              <w:left w:val="single" w:sz="4" w:space="0" w:color="E2E8F0"/>
              <w:bottom w:val="single" w:sz="4" w:space="0" w:color="E2E8F0"/>
              <w:right w:val="single" w:sz="4" w:space="0" w:color="E2E8F0"/>
            </w:tcBorders>
          </w:tcPr>
          <w:p>
            <w:pPr>
              <w:spacing w:before="60" w:after="60"/>
              <w:jc w:val="left"/>
            </w:pPr>
            <w:r>
              <w:rPr>
                <w:rFonts w:ascii="Calibri" w:hAnsi="Calibri"/>
                <w:color w:val="0F172A"/>
                <w:sz w:val="19"/>
              </w:rPr>
              <w:t>Docker &amp; Containers</w:t>
            </w:r>
          </w:p>
        </w:tc>
        <w:tc>
          <w:tcPr>
            <w:tcW w:type="dxa" w:w="2340"/>
            <w:shd w:fill="FFFFFF"/>
            <w:tcBorders>
              <w:top w:val="single" w:sz="4" w:space="0" w:color="E2E8F0"/>
              <w:left w:val="single" w:sz="4" w:space="0" w:color="E2E8F0"/>
              <w:bottom w:val="single" w:sz="4" w:space="0" w:color="E2E8F0"/>
              <w:right w:val="single" w:sz="4" w:space="0" w:color="E2E8F0"/>
            </w:tcBorders>
          </w:tcPr>
          <w:p>
            <w:pPr>
              <w:spacing w:before="60" w:after="60"/>
              <w:jc w:val="left"/>
            </w:pPr>
            <w:r>
              <w:rPr>
                <w:rFonts w:ascii="Calibri" w:hAnsi="Calibri"/>
                <w:color w:val="0F172A"/>
                <w:sz w:val="19"/>
              </w:rPr>
              <w:t>The Standardized Shipping Container</w:t>
            </w:r>
          </w:p>
        </w:tc>
        <w:tc>
          <w:tcPr>
            <w:tcW w:type="dxa" w:w="2340"/>
            <w:shd w:fill="FFFFFF"/>
            <w:tcBorders>
              <w:top w:val="single" w:sz="4" w:space="0" w:color="E2E8F0"/>
              <w:left w:val="single" w:sz="4" w:space="0" w:color="E2E8F0"/>
              <w:bottom w:val="single" w:sz="4" w:space="0" w:color="E2E8F0"/>
              <w:right w:val="single" w:sz="4" w:space="0" w:color="E2E8F0"/>
            </w:tcBorders>
          </w:tcPr>
          <w:p>
            <w:pPr>
              <w:spacing w:before="60" w:after="60"/>
              <w:jc w:val="left"/>
            </w:pPr>
            <w:r>
              <w:rPr>
                <w:rFonts w:ascii="Calibri" w:hAnsi="Calibri"/>
                <w:color w:val="0F172A"/>
                <w:sz w:val="19"/>
              </w:rPr>
              <w:t>Packs the entire website, backend server, and database settings into one standard shipping box.</w:t>
            </w:r>
          </w:p>
        </w:tc>
        <w:tc>
          <w:tcPr>
            <w:tcW w:type="dxa" w:w="2340"/>
            <w:shd w:fill="FFFFFF"/>
            <w:tcBorders>
              <w:top w:val="single" w:sz="4" w:space="0" w:color="E2E8F0"/>
              <w:left w:val="single" w:sz="4" w:space="0" w:color="E2E8F0"/>
              <w:bottom w:val="single" w:sz="4" w:space="0" w:color="E2E8F0"/>
              <w:right w:val="single" w:sz="4" w:space="0" w:color="E2E8F0"/>
            </w:tcBorders>
          </w:tcPr>
          <w:p>
            <w:pPr>
              <w:spacing w:before="60" w:after="60"/>
              <w:jc w:val="left"/>
            </w:pPr>
            <w:r>
              <w:rPr>
                <w:rFonts w:ascii="Calibri" w:hAnsi="Calibri"/>
                <w:color w:val="0F172A"/>
                <w:sz w:val="19"/>
              </w:rPr>
              <w:t>Eliminates 'it works on my laptop but not on the server' issues, launching anywhere in 1 click.</w:t>
            </w:r>
          </w:p>
        </w:tc>
      </w:tr>
    </w:tbl>
    <w:p>
      <w:pPr>
        <w:spacing w:before="40" w:after="120"/>
      </w:pPr>
    </w:p>
    <w:p>
      <w:pPr>
        <w:keepNext/>
        <w:spacing w:before="280" w:after="80"/>
      </w:pPr>
      <w:r>
        <w:rPr>
          <w:rFonts w:ascii="Calibri" w:hAnsi="Calibri"/>
          <w:b/>
          <w:color w:val="24715F"/>
          <w:sz w:val="26"/>
        </w:rPr>
        <w:t>2.3 Technology-by-Technology Breakdown (Non-Technical)</w:t>
      </w:r>
    </w:p>
    <w:p>
      <w:pPr>
        <w:keepNext/>
        <w:spacing w:before="200" w:after="40"/>
      </w:pPr>
      <w:r>
        <w:rPr>
          <w:rFonts w:ascii="Calibri" w:hAnsi="Calibri"/>
          <w:b/>
          <w:color w:val="0F172A"/>
          <w:sz w:val="22"/>
        </w:rPr>
        <w:t>A. React 18 &amp; Vite (The Interactive Front Office)</w:t>
      </w:r>
    </w:p>
    <w:p>
      <w:pPr>
        <w:pStyle w:val="ListBullet"/>
        <w:spacing w:after="60" w:line="276" w:lineRule="auto"/>
      </w:pPr>
      <w:r>
        <w:rPr>
          <w:rFonts w:ascii="Calibri" w:hAnsi="Calibri"/>
          <w:color w:val="0F172A"/>
          <w:sz w:val="21"/>
        </w:rPr>
        <w:t>What it is: React is a modern user-interface library created by Meta (Facebook) that builds interactive, reactive web pages.</w:t>
      </w:r>
    </w:p>
    <w:p>
      <w:pPr>
        <w:pStyle w:val="ListBullet"/>
        <w:spacing w:after="60" w:line="276" w:lineRule="auto"/>
      </w:pPr>
      <w:r>
        <w:rPr>
          <w:rFonts w:ascii="Calibri" w:hAnsi="Calibri"/>
          <w:color w:val="0F172A"/>
          <w:sz w:val="21"/>
        </w:rPr>
        <w:t>Why we use it: Traditional websites force the entire screen to turn white and reload every time you click a button. React updates only the specific card or number that changed, feeling as fast as a desktop app.</w:t>
      </w:r>
    </w:p>
    <w:p>
      <w:pPr>
        <w:pStyle w:val="ListBullet"/>
        <w:spacing w:after="60" w:line="276" w:lineRule="auto"/>
      </w:pPr>
      <w:r>
        <w:rPr>
          <w:rFonts w:ascii="Calibri" w:hAnsi="Calibri"/>
          <w:color w:val="0F172A"/>
          <w:sz w:val="21"/>
        </w:rPr>
        <w:t>What Rahul built with it: Built 5 custom-tailored dashboards (Admin, TPO, HOD, Recruiter, Student) with dark-mode elegance, live progress bars, search filters, and 1-click application modals.</w:t>
      </w:r>
    </w:p>
    <w:p>
      <w:pPr>
        <w:keepNext/>
        <w:spacing w:before="200" w:after="40"/>
      </w:pPr>
      <w:r>
        <w:rPr>
          <w:rFonts w:ascii="Calibri" w:hAnsi="Calibri"/>
          <w:b/>
          <w:color w:val="0F172A"/>
          <w:sz w:val="22"/>
        </w:rPr>
        <w:t>B. Node.js &amp; Express.js (The Central Dispatcher &amp; Brain)</w:t>
      </w:r>
    </w:p>
    <w:p>
      <w:pPr>
        <w:pStyle w:val="ListBullet"/>
        <w:spacing w:after="60" w:line="276" w:lineRule="auto"/>
      </w:pPr>
      <w:r>
        <w:rPr>
          <w:rFonts w:ascii="Calibri" w:hAnsi="Calibri"/>
          <w:color w:val="0F172A"/>
          <w:sz w:val="21"/>
        </w:rPr>
        <w:t>What it is: Node.js lets developers run JavaScript on high-speed servers, and Express.js is a streamlined engine for handling web requests.</w:t>
      </w:r>
    </w:p>
    <w:p>
      <w:pPr>
        <w:pStyle w:val="ListBullet"/>
        <w:spacing w:after="60" w:line="276" w:lineRule="auto"/>
      </w:pPr>
      <w:r>
        <w:rPr>
          <w:rFonts w:ascii="Calibri" w:hAnsi="Calibri"/>
          <w:color w:val="0F172A"/>
          <w:sz w:val="21"/>
        </w:rPr>
        <w:t>Why we use it: It is lightweight, lightning fast, and handles heavy concurrent traffic (such as 500 students applying during the last 5 minutes of a job deadline).</w:t>
      </w:r>
    </w:p>
    <w:p>
      <w:pPr>
        <w:pStyle w:val="ListBullet"/>
        <w:spacing w:after="60" w:line="276" w:lineRule="auto"/>
      </w:pPr>
      <w:r>
        <w:rPr>
          <w:rFonts w:ascii="Calibri" w:hAnsi="Calibri"/>
          <w:color w:val="0F172A"/>
          <w:sz w:val="21"/>
        </w:rPr>
        <w:t>What Rahul built with it: Engineered 50+ automated endpoints, including the automated eligibility gatekeeper that checks CGPA, active backlogs, eligible branch, and batch before accepting an application.</w:t>
      </w:r>
    </w:p>
    <w:p>
      <w:pPr>
        <w:keepNext/>
        <w:spacing w:before="200" w:after="40"/>
      </w:pPr>
      <w:r>
        <w:rPr>
          <w:rFonts w:ascii="Calibri" w:hAnsi="Calibri"/>
          <w:b/>
          <w:color w:val="0F172A"/>
          <w:sz w:val="22"/>
        </w:rPr>
        <w:t>C. MongoDB &amp; Mongoose (The Intelligent Cloud Database)</w:t>
      </w:r>
    </w:p>
    <w:p>
      <w:pPr>
        <w:pStyle w:val="ListBullet"/>
        <w:spacing w:after="60" w:line="276" w:lineRule="auto"/>
      </w:pPr>
      <w:r>
        <w:rPr>
          <w:rFonts w:ascii="Calibri" w:hAnsi="Calibri"/>
          <w:color w:val="0F172A"/>
          <w:sz w:val="21"/>
        </w:rPr>
        <w:t>What it is: MongoDB is a modern NoSQL cloud database that stores data in flexible, document-style JSON records instead of rigid spreadsheets.</w:t>
      </w:r>
    </w:p>
    <w:p>
      <w:pPr>
        <w:pStyle w:val="ListBullet"/>
        <w:spacing w:after="60" w:line="276" w:lineRule="auto"/>
      </w:pPr>
      <w:r>
        <w:rPr>
          <w:rFonts w:ascii="Calibri" w:hAnsi="Calibri"/>
          <w:color w:val="0F172A"/>
          <w:sz w:val="21"/>
        </w:rPr>
        <w:t>Why we use it: Easily scales to tens of thousands of student records and resumes without corruption or speed degradation.</w:t>
      </w:r>
    </w:p>
    <w:p>
      <w:pPr>
        <w:pStyle w:val="ListBullet"/>
        <w:spacing w:after="60" w:line="276" w:lineRule="auto"/>
      </w:pPr>
      <w:r>
        <w:rPr>
          <w:rFonts w:ascii="Calibri" w:hAnsi="Calibri"/>
          <w:color w:val="0F172A"/>
          <w:sz w:val="21"/>
        </w:rPr>
        <w:t>What Rahul built with it: Designed 9 interconnected data collections with an automatic duplicate lock that strictly forbids duplicate applications.</w:t>
      </w:r>
    </w:p>
    <w:p>
      <w:pPr>
        <w:keepNext/>
        <w:spacing w:before="200" w:after="40"/>
      </w:pPr>
      <w:r>
        <w:rPr>
          <w:rFonts w:ascii="Calibri" w:hAnsi="Calibri"/>
          <w:b/>
          <w:color w:val="0F172A"/>
          <w:sz w:val="22"/>
        </w:rPr>
        <w:t>D. JWT &amp; Bcrypt (The Cybersecurity Shield)</w:t>
      </w:r>
    </w:p>
    <w:p>
      <w:pPr>
        <w:pStyle w:val="ListBullet"/>
        <w:spacing w:after="60" w:line="276" w:lineRule="auto"/>
      </w:pPr>
      <w:r>
        <w:rPr>
          <w:rFonts w:ascii="Calibri" w:hAnsi="Calibri"/>
          <w:color w:val="0F172A"/>
          <w:sz w:val="21"/>
        </w:rPr>
        <w:t>What it is: Bcrypt is a mathematical one-way cryptographic hashing algorithm, and JWT (JSON Web Token) is a digitally signed security badge.</w:t>
      </w:r>
    </w:p>
    <w:p>
      <w:pPr>
        <w:pStyle w:val="ListBullet"/>
        <w:spacing w:after="60" w:line="276" w:lineRule="auto"/>
      </w:pPr>
      <w:r>
        <w:rPr>
          <w:rFonts w:ascii="Calibri" w:hAnsi="Calibri"/>
          <w:color w:val="0F172A"/>
          <w:sz w:val="21"/>
        </w:rPr>
        <w:t>Why we use it: Passwords are never stored as plain text. Even if someone steals the database, the passwords look like random scrambled characters.</w:t>
      </w:r>
    </w:p>
    <w:p>
      <w:pPr>
        <w:pStyle w:val="ListBullet"/>
        <w:spacing w:after="60" w:line="276" w:lineRule="auto"/>
      </w:pPr>
      <w:r>
        <w:rPr>
          <w:rFonts w:ascii="Calibri" w:hAnsi="Calibri"/>
          <w:color w:val="0F172A"/>
          <w:sz w:val="21"/>
        </w:rPr>
        <w:t>What Rahul built with it: Implemented role-based protection ensuring only verified Placement Directors can post jobs or export NIRF accreditation reports.</w:t>
      </w:r>
    </w:p>
    <w:p>
      <w:pPr>
        <w:keepNext/>
        <w:spacing w:before="200" w:after="40"/>
      </w:pPr>
      <w:r>
        <w:rPr>
          <w:rFonts w:ascii="Calibri" w:hAnsi="Calibri"/>
          <w:b/>
          <w:color w:val="0F172A"/>
          <w:sz w:val="22"/>
        </w:rPr>
        <w:t>E. Docker &amp; Docker-Compose (The Instant Launchpad)</w:t>
      </w:r>
    </w:p>
    <w:p>
      <w:pPr>
        <w:pStyle w:val="ListBullet"/>
        <w:spacing w:after="60" w:line="276" w:lineRule="auto"/>
      </w:pPr>
      <w:r>
        <w:rPr>
          <w:rFonts w:ascii="Calibri" w:hAnsi="Calibri"/>
          <w:color w:val="0F172A"/>
          <w:sz w:val="21"/>
        </w:rPr>
        <w:t>What it is: Docker packages software into self-contained virtual containers that carry everything needed to run.</w:t>
      </w:r>
    </w:p>
    <w:p>
      <w:pPr>
        <w:pStyle w:val="ListBullet"/>
        <w:spacing w:after="60" w:line="276" w:lineRule="auto"/>
      </w:pPr>
      <w:r>
        <w:rPr>
          <w:rFonts w:ascii="Calibri" w:hAnsi="Calibri"/>
          <w:color w:val="0F172A"/>
          <w:sz w:val="21"/>
        </w:rPr>
        <w:t>Why we use it: Allows any university IT administrator to deploy the entire UdyamPath operating system on any cloud or local server with a single terminal command.</w:t>
      </w:r>
    </w:p>
    <w:p>
      <w:pPr>
        <w:pStyle w:val="ListBullet"/>
        <w:spacing w:after="60" w:line="276" w:lineRule="auto"/>
      </w:pPr>
      <w:r>
        <w:rPr>
          <w:rFonts w:ascii="Calibri" w:hAnsi="Calibri"/>
          <w:color w:val="0F172A"/>
          <w:sz w:val="21"/>
        </w:rPr>
        <w:t>What Rahul built with it: Created production Dockerfiles and docker-compose configurations linking the React frontend, Express backend, and MongoDB Atlas cloud.</w:t>
      </w:r>
    </w:p>
    <w:p>
      <w:pPr>
        <w:keepNext/>
        <w:spacing w:before="280" w:after="80"/>
      </w:pPr>
      <w:r>
        <w:rPr>
          <w:rFonts w:ascii="Calibri" w:hAnsi="Calibri"/>
          <w:b/>
          <w:color w:val="24715F"/>
          <w:sz w:val="26"/>
        </w:rPr>
        <w:t>2.4 The Journey of a Student: How UdyamPath Works in Practice</w:t>
      </w:r>
    </w:p>
    <w:p>
      <w:pPr>
        <w:spacing w:after="120" w:line="276" w:lineRule="auto"/>
      </w:pPr>
      <w:r>
        <w:rPr>
          <w:rFonts w:ascii="Calibri" w:hAnsi="Calibri"/>
          <w:i w:val="0"/>
          <w:color w:val="0F172A"/>
          <w:sz w:val="21"/>
        </w:rPr>
        <w:t>1. Student Profile Creation: Student Aarav logs in, uploads his verified marksheets, and enters his skills and resume link.</w:t>
      </w:r>
    </w:p>
    <w:p>
      <w:pPr>
        <w:spacing w:after="120" w:line="276" w:lineRule="auto"/>
      </w:pPr>
      <w:r>
        <w:rPr>
          <w:rFonts w:ascii="Calibri" w:hAnsi="Calibri"/>
          <w:i w:val="0"/>
          <w:color w:val="0F172A"/>
          <w:sz w:val="21"/>
        </w:rPr>
        <w:t>2. Company Drive Announcement: Google posts a Software Engineer drive requiring Minimum 8.0 CGPA, Max 0 Backlogs, and CSE/IT branches with a 24 LPA package.</w:t>
      </w:r>
    </w:p>
    <w:p>
      <w:pPr>
        <w:spacing w:after="120" w:line="276" w:lineRule="auto"/>
      </w:pPr>
      <w:r>
        <w:rPr>
          <w:rFonts w:ascii="Calibri" w:hAnsi="Calibri"/>
          <w:i w:val="0"/>
          <w:color w:val="0F172A"/>
          <w:sz w:val="21"/>
        </w:rPr>
        <w:t>3. 1-Click Smart Apply: Aarav clicks 'Apply'. In 18 milliseconds, the system verifies his 8.5 CGPA, 0 backlogs, and CSE branch, granting him an instant verified entry pass.</w:t>
      </w:r>
    </w:p>
    <w:p>
      <w:pPr>
        <w:spacing w:after="120" w:line="276" w:lineRule="auto"/>
      </w:pPr>
      <w:r>
        <w:rPr>
          <w:rFonts w:ascii="Calibri" w:hAnsi="Calibri"/>
          <w:i w:val="0"/>
          <w:color w:val="0F172A"/>
          <w:sz w:val="21"/>
        </w:rPr>
        <w:t>4. Ineligible Candidate Rejection: If a student with a 7.2 CGPA tries to apply, the system politely blocks the submission with an exact message: 'Your CGPA of 7.20 is below Google's required cutoff of 8.00'. Zero human effort required!</w:t>
      </w:r>
    </w:p>
    <w:p>
      <w:pPr>
        <w:spacing w:after="120" w:line="276" w:lineRule="auto"/>
      </w:pPr>
      <w:r>
        <w:rPr>
          <w:rFonts w:ascii="Calibri" w:hAnsi="Calibri"/>
          <w:i w:val="0"/>
          <w:color w:val="0F172A"/>
          <w:sz w:val="21"/>
        </w:rPr>
        <w:t>5. Virtual / Physical Interview: Recruiter conducts coding and HR interviews, entering scores directly into the portal.</w:t>
      </w:r>
    </w:p>
    <w:p>
      <w:pPr>
        <w:spacing w:after="120" w:line="276" w:lineRule="auto"/>
      </w:pPr>
      <w:r>
        <w:rPr>
          <w:rFonts w:ascii="Calibri" w:hAnsi="Calibri"/>
          <w:i w:val="0"/>
          <w:color w:val="0F172A"/>
          <w:sz w:val="21"/>
        </w:rPr>
        <w:t>6. Digital Offer Letter: Google issues an official digital offer. Aarav clicks 'Accept Offer', instantly updating his status to 'Placed'.</w:t>
      </w:r>
    </w:p>
    <w:p>
      <w:pPr>
        <w:spacing w:after="120" w:line="276" w:lineRule="auto"/>
      </w:pPr>
      <w:r>
        <w:rPr>
          <w:rFonts w:ascii="Calibri" w:hAnsi="Calibri"/>
          <w:i w:val="0"/>
          <w:color w:val="0F172A"/>
          <w:sz w:val="21"/>
        </w:rPr>
        <w:t>7. Instant NIRF &amp; NAAC Export: The TPO clicks one button to generate the complete NIRF Table 5.1 median salary report for government accreditation submission.</w:t>
      </w:r>
    </w:p>
    <w:p>
      <w:pPr>
        <w:keepNext/>
        <w:spacing w:before="360" w:after="120"/>
      </w:pPr>
      <w:r>
        <w:rPr>
          <w:rFonts w:ascii="Calibri" w:hAnsi="Calibri"/>
          <w:b/>
          <w:color w:val="2F8F78"/>
          <w:sz w:val="32"/>
        </w:rPr>
        <w:t>3. Part 2: The Technical Deep-Dive (Architect &amp; Code Reviewer Edition)</w:t>
      </w:r>
    </w:p>
    <w:p>
      <w:pPr>
        <w:spacing w:after="120" w:line="276" w:lineRule="auto"/>
      </w:pPr>
      <w:r>
        <w:rPr>
          <w:rFonts w:ascii="Calibri" w:hAnsi="Calibri"/>
          <w:i w:val="0"/>
          <w:color w:val="0F172A"/>
          <w:sz w:val="21"/>
        </w:rPr>
        <w:t>This section presents an exhaustive architectural analysis of UdyamPath for software engineers, systems architects, and technical evaluation panels.</w:t>
      </w:r>
    </w:p>
    <w:p>
      <w:pPr>
        <w:keepNext/>
        <w:spacing w:before="280" w:after="80"/>
      </w:pPr>
      <w:r>
        <w:rPr>
          <w:rFonts w:ascii="Calibri" w:hAnsi="Calibri"/>
          <w:b/>
          <w:color w:val="24715F"/>
          <w:sz w:val="26"/>
        </w:rPr>
        <w:t>3.1 Decoupled 3-Tier Architecture &amp; Design Patterns</w:t>
      </w:r>
    </w:p>
    <w:p>
      <w:pPr>
        <w:spacing w:after="120" w:line="276" w:lineRule="auto"/>
      </w:pPr>
      <w:r>
        <w:rPr>
          <w:rFonts w:ascii="Calibri" w:hAnsi="Calibri"/>
          <w:i w:val="0"/>
          <w:color w:val="0F172A"/>
          <w:sz w:val="21"/>
        </w:rPr>
        <w:t>UdyamPath is engineered around a decoupled client-server architecture utilizing the Model-View-Controller (MVC) pattern on the backend and a reactive Component-Based Single Page Application (SPA) architecture on the client.</w:t>
      </w:r>
    </w:p>
    <w:tbl>
      <w:tblPr>
        <w:tblW w:type="auto" w:w="0"/>
        <w:jc w:val="center"/>
        <w:tblLayout w:type="fixed"/>
        <w:tblLook w:firstColumn="1" w:firstRow="1" w:lastColumn="0" w:lastRow="0" w:noHBand="0" w:noVBand="1" w:val="04A0"/>
      </w:tblPr>
      <w:tblGrid>
        <w:gridCol w:w="3120"/>
        <w:gridCol w:w="3120"/>
        <w:gridCol w:w="3120"/>
      </w:tblGrid>
      <w:tr>
        <w:tc>
          <w:tcPr>
            <w:tcW w:type="dxa" w:w="3120"/>
            <w:shd w:fill="2F8F78"/>
            <w:tcBorders>
              <w:top w:val="single" w:sz="4" w:space="0" w:color="E2E8F0"/>
              <w:left w:val="single" w:sz="4" w:space="0" w:color="E2E8F0"/>
              <w:bottom w:val="single" w:sz="4" w:space="0" w:color="E2E8F0"/>
              <w:right w:val="single" w:sz="4" w:space="0" w:color="E2E8F0"/>
            </w:tcBorders>
          </w:tcPr>
          <w:p>
            <w:pPr>
              <w:spacing w:before="80" w:after="80"/>
              <w:jc w:val="left"/>
            </w:pPr>
            <w:r>
              <w:rPr>
                <w:rFonts w:ascii="Calibri" w:hAnsi="Calibri"/>
                <w:b/>
                <w:color w:val="FFFFFF"/>
                <w:sz w:val="20"/>
              </w:rPr>
              <w:t>Layer / Tier</w:t>
            </w:r>
          </w:p>
        </w:tc>
        <w:tc>
          <w:tcPr>
            <w:tcW w:type="dxa" w:w="3120"/>
            <w:shd w:fill="2F8F78"/>
            <w:tcBorders>
              <w:top w:val="single" w:sz="4" w:space="0" w:color="E2E8F0"/>
              <w:left w:val="single" w:sz="4" w:space="0" w:color="E2E8F0"/>
              <w:bottom w:val="single" w:sz="4" w:space="0" w:color="E2E8F0"/>
              <w:right w:val="single" w:sz="4" w:space="0" w:color="E2E8F0"/>
            </w:tcBorders>
          </w:tcPr>
          <w:p>
            <w:pPr>
              <w:spacing w:before="80" w:after="80"/>
              <w:jc w:val="left"/>
            </w:pPr>
            <w:r>
              <w:rPr>
                <w:rFonts w:ascii="Calibri" w:hAnsi="Calibri"/>
                <w:b/>
                <w:color w:val="FFFFFF"/>
                <w:sz w:val="20"/>
              </w:rPr>
              <w:t>Primary Technology Stack</w:t>
            </w:r>
          </w:p>
        </w:tc>
        <w:tc>
          <w:tcPr>
            <w:tcW w:type="dxa" w:w="3120"/>
            <w:shd w:fill="2F8F78"/>
            <w:tcBorders>
              <w:top w:val="single" w:sz="4" w:space="0" w:color="E2E8F0"/>
              <w:left w:val="single" w:sz="4" w:space="0" w:color="E2E8F0"/>
              <w:bottom w:val="single" w:sz="4" w:space="0" w:color="E2E8F0"/>
              <w:right w:val="single" w:sz="4" w:space="0" w:color="E2E8F0"/>
            </w:tcBorders>
          </w:tcPr>
          <w:p>
            <w:pPr>
              <w:spacing w:before="80" w:after="80"/>
              <w:jc w:val="left"/>
            </w:pPr>
            <w:r>
              <w:rPr>
                <w:rFonts w:ascii="Calibri" w:hAnsi="Calibri"/>
                <w:b/>
                <w:color w:val="FFFFFF"/>
                <w:sz w:val="20"/>
              </w:rPr>
              <w:t>Architectural Patterns &amp; Key Responsibilities</w:t>
            </w:r>
          </w:p>
        </w:tc>
      </w:tr>
      <w:tr>
        <w:tc>
          <w:tcPr>
            <w:tcW w:type="dxa" w:w="3120"/>
            <w:shd w:fill="FFFFFF"/>
            <w:tcBorders>
              <w:top w:val="single" w:sz="4" w:space="0" w:color="E2E8F0"/>
              <w:left w:val="single" w:sz="4" w:space="0" w:color="E2E8F0"/>
              <w:bottom w:val="single" w:sz="4" w:space="0" w:color="E2E8F0"/>
              <w:right w:val="single" w:sz="4" w:space="0" w:color="E2E8F0"/>
            </w:tcBorders>
          </w:tcPr>
          <w:p>
            <w:pPr>
              <w:spacing w:before="60" w:after="60"/>
              <w:jc w:val="left"/>
            </w:pPr>
            <w:r>
              <w:rPr>
                <w:rFonts w:ascii="Calibri" w:hAnsi="Calibri"/>
                <w:color w:val="0F172A"/>
                <w:sz w:val="19"/>
              </w:rPr>
              <w:t>Client Tier (Presentation)</w:t>
            </w:r>
          </w:p>
        </w:tc>
        <w:tc>
          <w:tcPr>
            <w:tcW w:type="dxa" w:w="3120"/>
            <w:shd w:fill="FFFFFF"/>
            <w:tcBorders>
              <w:top w:val="single" w:sz="4" w:space="0" w:color="E2E8F0"/>
              <w:left w:val="single" w:sz="4" w:space="0" w:color="E2E8F0"/>
              <w:bottom w:val="single" w:sz="4" w:space="0" w:color="E2E8F0"/>
              <w:right w:val="single" w:sz="4" w:space="0" w:color="E2E8F0"/>
            </w:tcBorders>
          </w:tcPr>
          <w:p>
            <w:pPr>
              <w:spacing w:before="60" w:after="60"/>
              <w:jc w:val="left"/>
            </w:pPr>
            <w:r>
              <w:rPr>
                <w:rFonts w:ascii="Calibri" w:hAnsi="Calibri"/>
                <w:color w:val="0F172A"/>
                <w:sz w:val="19"/>
              </w:rPr>
              <w:t>React 18.3, Vite 6, TailwindCSS 3.4, Axios 1.7, React Router 6.28</w:t>
            </w:r>
          </w:p>
        </w:tc>
        <w:tc>
          <w:tcPr>
            <w:tcW w:type="dxa" w:w="3120"/>
            <w:shd w:fill="FFFFFF"/>
            <w:tcBorders>
              <w:top w:val="single" w:sz="4" w:space="0" w:color="E2E8F0"/>
              <w:left w:val="single" w:sz="4" w:space="0" w:color="E2E8F0"/>
              <w:bottom w:val="single" w:sz="4" w:space="0" w:color="E2E8F0"/>
              <w:right w:val="single" w:sz="4" w:space="0" w:color="E2E8F0"/>
            </w:tcBorders>
          </w:tcPr>
          <w:p>
            <w:pPr>
              <w:spacing w:before="60" w:after="60"/>
              <w:jc w:val="left"/>
            </w:pPr>
            <w:r>
              <w:rPr>
                <w:rFonts w:ascii="Calibri" w:hAnsi="Calibri"/>
                <w:color w:val="0F172A"/>
                <w:sz w:val="19"/>
              </w:rPr>
              <w:t>Virtual DOM reconciliation, Context API state persistence, RoleRoute guards, Axios interceptors, responsive mobile-first UI.</w:t>
            </w:r>
          </w:p>
        </w:tc>
      </w:tr>
      <w:tr>
        <w:tc>
          <w:tcPr>
            <w:tcW w:type="dxa" w:w="3120"/>
            <w:shd w:fill="F8FAFC"/>
            <w:tcBorders>
              <w:top w:val="single" w:sz="4" w:space="0" w:color="E2E8F0"/>
              <w:left w:val="single" w:sz="4" w:space="0" w:color="E2E8F0"/>
              <w:bottom w:val="single" w:sz="4" w:space="0" w:color="E2E8F0"/>
              <w:right w:val="single" w:sz="4" w:space="0" w:color="E2E8F0"/>
            </w:tcBorders>
          </w:tcPr>
          <w:p>
            <w:pPr>
              <w:spacing w:before="60" w:after="60"/>
              <w:jc w:val="left"/>
            </w:pPr>
            <w:r>
              <w:rPr>
                <w:rFonts w:ascii="Calibri" w:hAnsi="Calibri"/>
                <w:color w:val="0F172A"/>
                <w:sz w:val="19"/>
              </w:rPr>
              <w:t>API Gateway &amp; Logic Tier</w:t>
            </w:r>
          </w:p>
        </w:tc>
        <w:tc>
          <w:tcPr>
            <w:tcW w:type="dxa" w:w="3120"/>
            <w:shd w:fill="F8FAFC"/>
            <w:tcBorders>
              <w:top w:val="single" w:sz="4" w:space="0" w:color="E2E8F0"/>
              <w:left w:val="single" w:sz="4" w:space="0" w:color="E2E8F0"/>
              <w:bottom w:val="single" w:sz="4" w:space="0" w:color="E2E8F0"/>
              <w:right w:val="single" w:sz="4" w:space="0" w:color="E2E8F0"/>
            </w:tcBorders>
          </w:tcPr>
          <w:p>
            <w:pPr>
              <w:spacing w:before="60" w:after="60"/>
              <w:jc w:val="left"/>
            </w:pPr>
            <w:r>
              <w:rPr>
                <w:rFonts w:ascii="Calibri" w:hAnsi="Calibri"/>
                <w:color w:val="0F172A"/>
                <w:sz w:val="19"/>
              </w:rPr>
              <w:t>Node.js 20 LTS, Express.js 4.21 (ES Modules), Multer, express-rate-limit</w:t>
            </w:r>
          </w:p>
        </w:tc>
        <w:tc>
          <w:tcPr>
            <w:tcW w:type="dxa" w:w="3120"/>
            <w:shd w:fill="F8FAFC"/>
            <w:tcBorders>
              <w:top w:val="single" w:sz="4" w:space="0" w:color="E2E8F0"/>
              <w:left w:val="single" w:sz="4" w:space="0" w:color="E2E8F0"/>
              <w:bottom w:val="single" w:sz="4" w:space="0" w:color="E2E8F0"/>
              <w:right w:val="single" w:sz="4" w:space="0" w:color="E2E8F0"/>
            </w:tcBorders>
          </w:tcPr>
          <w:p>
            <w:pPr>
              <w:spacing w:before="60" w:after="60"/>
              <w:jc w:val="left"/>
            </w:pPr>
            <w:r>
              <w:rPr>
                <w:rFonts w:ascii="Calibri" w:hAnsi="Calibri"/>
                <w:color w:val="0F172A"/>
                <w:sz w:val="19"/>
              </w:rPr>
              <w:t>RESTful API endpoints, JWT token verification middleware, RBAC authorization matrices, deterministic eligibility validation engine.</w:t>
            </w:r>
          </w:p>
        </w:tc>
      </w:tr>
      <w:tr>
        <w:tc>
          <w:tcPr>
            <w:tcW w:type="dxa" w:w="3120"/>
            <w:shd w:fill="FFFFFF"/>
            <w:tcBorders>
              <w:top w:val="single" w:sz="4" w:space="0" w:color="E2E8F0"/>
              <w:left w:val="single" w:sz="4" w:space="0" w:color="E2E8F0"/>
              <w:bottom w:val="single" w:sz="4" w:space="0" w:color="E2E8F0"/>
              <w:right w:val="single" w:sz="4" w:space="0" w:color="E2E8F0"/>
            </w:tcBorders>
          </w:tcPr>
          <w:p>
            <w:pPr>
              <w:spacing w:before="60" w:after="60"/>
              <w:jc w:val="left"/>
            </w:pPr>
            <w:r>
              <w:rPr>
                <w:rFonts w:ascii="Calibri" w:hAnsi="Calibri"/>
                <w:color w:val="0F172A"/>
                <w:sz w:val="19"/>
              </w:rPr>
              <w:t>Data &amp; Cloud Layer</w:t>
            </w:r>
          </w:p>
        </w:tc>
        <w:tc>
          <w:tcPr>
            <w:tcW w:type="dxa" w:w="3120"/>
            <w:shd w:fill="FFFFFF"/>
            <w:tcBorders>
              <w:top w:val="single" w:sz="4" w:space="0" w:color="E2E8F0"/>
              <w:left w:val="single" w:sz="4" w:space="0" w:color="E2E8F0"/>
              <w:bottom w:val="single" w:sz="4" w:space="0" w:color="E2E8F0"/>
              <w:right w:val="single" w:sz="4" w:space="0" w:color="E2E8F0"/>
            </w:tcBorders>
          </w:tcPr>
          <w:p>
            <w:pPr>
              <w:spacing w:before="60" w:after="60"/>
              <w:jc w:val="left"/>
            </w:pPr>
            <w:r>
              <w:rPr>
                <w:rFonts w:ascii="Calibri" w:hAnsi="Calibri"/>
                <w:color w:val="0F172A"/>
                <w:sz w:val="19"/>
              </w:rPr>
              <w:t>MongoDB Atlas (v7.0+), Mongoose 8.8 ODM, Cloud Atlas Replica Set</w:t>
            </w:r>
          </w:p>
        </w:tc>
        <w:tc>
          <w:tcPr>
            <w:tcW w:type="dxa" w:w="3120"/>
            <w:shd w:fill="FFFFFF"/>
            <w:tcBorders>
              <w:top w:val="single" w:sz="4" w:space="0" w:color="E2E8F0"/>
              <w:left w:val="single" w:sz="4" w:space="0" w:color="E2E8F0"/>
              <w:bottom w:val="single" w:sz="4" w:space="0" w:color="E2E8F0"/>
              <w:right w:val="single" w:sz="4" w:space="0" w:color="E2E8F0"/>
            </w:tcBorders>
          </w:tcPr>
          <w:p>
            <w:pPr>
              <w:spacing w:before="60" w:after="60"/>
              <w:jc w:val="left"/>
            </w:pPr>
            <w:r>
              <w:rPr>
                <w:rFonts w:ascii="Calibri" w:hAnsi="Calibri"/>
                <w:color w:val="0F172A"/>
                <w:sz w:val="19"/>
              </w:rPr>
              <w:t>9 Normalized schemas, compound indexing for idempotency, atomic aggregation pipelines for NIRF median salary calculations.</w:t>
            </w:r>
          </w:p>
        </w:tc>
      </w:tr>
    </w:tbl>
    <w:p>
      <w:pPr>
        <w:spacing w:before="40" w:after="120"/>
      </w:pPr>
    </w:p>
    <w:p>
      <w:pPr>
        <w:keepNext/>
        <w:spacing w:before="280" w:after="80"/>
      </w:pPr>
      <w:r>
        <w:rPr>
          <w:rFonts w:ascii="Calibri" w:hAnsi="Calibri"/>
          <w:b/>
          <w:color w:val="24715F"/>
          <w:sz w:val="26"/>
        </w:rPr>
        <w:t>3.2 Frontend Architecture (React 18 + Vite 6)</w:t>
      </w:r>
    </w:p>
    <w:p>
      <w:pPr>
        <w:spacing w:after="120" w:line="276" w:lineRule="auto"/>
      </w:pPr>
      <w:r>
        <w:rPr>
          <w:rFonts w:ascii="Calibri" w:hAnsi="Calibri"/>
          <w:i w:val="0"/>
          <w:color w:val="0F172A"/>
          <w:sz w:val="21"/>
        </w:rPr>
        <w:t>The frontend application is constructed with modern React 18 paradigms:</w:t>
      </w:r>
    </w:p>
    <w:p>
      <w:pPr>
        <w:pStyle w:val="ListBullet"/>
        <w:spacing w:after="60" w:line="276" w:lineRule="auto"/>
      </w:pPr>
      <w:r>
        <w:rPr>
          <w:rFonts w:ascii="Calibri" w:hAnsi="Calibri"/>
          <w:color w:val="0F172A"/>
          <w:sz w:val="21"/>
        </w:rPr>
        <w:t>State Management &amp; AuthContext: Manages global authentication state, active user profile, decoded JWT payload, and theme tokens. State is synchronized with localStorage for session continuity across page reloads.</w:t>
      </w:r>
    </w:p>
    <w:p>
      <w:pPr>
        <w:pStyle w:val="ListBullet"/>
        <w:spacing w:after="60" w:line="276" w:lineRule="auto"/>
      </w:pPr>
      <w:r>
        <w:rPr>
          <w:rFonts w:ascii="Calibri" w:hAnsi="Calibri"/>
          <w:color w:val="0F172A"/>
          <w:sz w:val="21"/>
        </w:rPr>
        <w:t>Axios Request &amp; Response Interceptors: Automatically extracts the JWT Bearer token from client storage and injects it into every outgoing HTTP request header. On HTTP 401 Unauthorized responses, it clears stale state and redirects to the login route.</w:t>
      </w:r>
    </w:p>
    <w:p>
      <w:pPr>
        <w:pStyle w:val="ListBullet"/>
        <w:spacing w:after="60" w:line="276" w:lineRule="auto"/>
      </w:pPr>
      <w:r>
        <w:rPr>
          <w:rFonts w:ascii="Calibri" w:hAnsi="Calibri"/>
          <w:color w:val="0F172A"/>
          <w:sz w:val="21"/>
        </w:rPr>
        <w:t>Role-Based Route Protection (RoleRoute.jsx): Higher-Order Component wrapping private routes. Verifies whether the authenticated user's role exists within the allowed roles array; unauthorized roles are redirected to their authorized root.</w:t>
      </w:r>
    </w:p>
    <w:p>
      <w:pPr>
        <w:pStyle w:val="ListBullet"/>
        <w:spacing w:after="60" w:line="276" w:lineRule="auto"/>
      </w:pPr>
      <w:r>
        <w:rPr>
          <w:rFonts w:ascii="Calibri" w:hAnsi="Calibri"/>
          <w:color w:val="0F172A"/>
          <w:sz w:val="21"/>
        </w:rPr>
        <w:t>Optimized Bundling with Vite 6: Leverages native ES module imports during development for sub-50ms Hot Module Replacement (HMR) and produces optimized Rollup production chunks.</w:t>
      </w:r>
    </w:p>
    <w:tbl>
      <w:tblPr>
        <w:tblW w:type="auto" w:w="0"/>
        <w:jc w:val="center"/>
        <w:tblLayout w:type="fixed"/>
        <w:tblLook w:firstColumn="1" w:firstRow="1" w:lastColumn="0" w:lastRow="0" w:noHBand="0" w:noVBand="1" w:val="04A0"/>
      </w:tblPr>
      <w:tblGrid>
        <w:gridCol w:w="9360"/>
      </w:tblGrid>
      <w:tr>
        <w:tc>
          <w:tcPr>
            <w:tcW w:type="dxa" w:w="9360"/>
            <w:shd w:fill="F1F5F9"/>
            <w:tcBorders>
              <w:top w:val="single" w:sz="4" w:space="0" w:color="CBD5E1"/>
              <w:left w:val="single" w:sz="4" w:space="0" w:color="CBD5E1"/>
              <w:bottom w:val="single" w:sz="4" w:space="0" w:color="CBD5E1"/>
              <w:right w:val="single" w:sz="4" w:space="0" w:color="CBD5E1"/>
            </w:tcBorders>
          </w:tcPr>
          <w:p>
            <w:pPr>
              <w:spacing w:before="80" w:after="80"/>
            </w:pPr>
            <w:r>
              <w:rPr>
                <w:rFonts w:ascii="Consolas" w:hAnsi="Consolas"/>
                <w:color w:val="0F172A"/>
                <w:sz w:val="18"/>
              </w:rPr>
              <w:t>// Example: Axios Interceptor Bearer Token Injection</w:t>
              <w:br/>
              <w:t>api.interceptors.request.use((config) =&gt; {</w:t>
              <w:br/>
              <w:t xml:space="preserve">  const token = localStorage.getItem('token');</w:t>
              <w:br/>
              <w:t xml:space="preserve">  if (token) {</w:t>
              <w:br/>
              <w:t xml:space="preserve">    config.headers.Authorization = `Bearer ${token}`;</w:t>
              <w:br/>
              <w:t xml:space="preserve">  }</w:t>
              <w:br/>
              <w:t xml:space="preserve">  return config;</w:t>
              <w:br/>
              <w:t>}, (error) =&gt; Promise.reject(error));</w:t>
            </w:r>
          </w:p>
        </w:tc>
      </w:tr>
    </w:tbl>
    <w:p>
      <w:pPr>
        <w:spacing w:before="40" w:after="80"/>
      </w:pPr>
    </w:p>
    <w:p>
      <w:pPr>
        <w:keepNext/>
        <w:spacing w:before="280" w:after="80"/>
      </w:pPr>
      <w:r>
        <w:rPr>
          <w:rFonts w:ascii="Calibri" w:hAnsi="Calibri"/>
          <w:b/>
          <w:color w:val="24715F"/>
          <w:sz w:val="26"/>
        </w:rPr>
        <w:t>3.3 Backend Architecture &amp; Security Middleware Pipeline</w:t>
      </w:r>
    </w:p>
    <w:p>
      <w:pPr>
        <w:spacing w:after="120" w:line="276" w:lineRule="auto"/>
      </w:pPr>
      <w:r>
        <w:rPr>
          <w:rFonts w:ascii="Calibri" w:hAnsi="Calibri"/>
          <w:i w:val="0"/>
          <w:color w:val="0F172A"/>
          <w:sz w:val="21"/>
        </w:rPr>
        <w:t>The backend Express.js server executes an enterprise-grade middleware pipeline enforcing Defense-in-Depth:</w:t>
      </w:r>
    </w:p>
    <w:p>
      <w:pPr>
        <w:pStyle w:val="ListBullet"/>
        <w:spacing w:after="60" w:line="276" w:lineRule="auto"/>
      </w:pPr>
      <w:r>
        <w:rPr>
          <w:rFonts w:ascii="Calibri" w:hAnsi="Calibri"/>
          <w:color w:val="0F172A"/>
          <w:sz w:val="21"/>
        </w:rPr>
        <w:t>Helmet (HTTP Security Headers): Enforces Content-Security-Policy (CSP), Strict-Transport-Security (HSTS), X-Frame-Options (DENY), and X-Content-Type-Options (nosniff) to eliminate XSS and clickjacking vulnerabilities.</w:t>
      </w:r>
    </w:p>
    <w:p>
      <w:pPr>
        <w:pStyle w:val="ListBullet"/>
        <w:spacing w:after="60" w:line="276" w:lineRule="auto"/>
      </w:pPr>
      <w:r>
        <w:rPr>
          <w:rFonts w:ascii="Calibri" w:hAnsi="Calibri"/>
          <w:color w:val="0F172A"/>
          <w:sz w:val="21"/>
        </w:rPr>
        <w:t>Rate Limiting: Utilizes express-rate-limit configured for 100 requests per 15-minute window per IP, mitigating Denial of Service (DoS) and brute-force credential attacks.</w:t>
      </w:r>
    </w:p>
    <w:p>
      <w:pPr>
        <w:pStyle w:val="ListBullet"/>
        <w:spacing w:after="60" w:line="276" w:lineRule="auto"/>
      </w:pPr>
      <w:r>
        <w:rPr>
          <w:rFonts w:ascii="Calibri" w:hAnsi="Calibri"/>
          <w:color w:val="0F172A"/>
          <w:sz w:val="21"/>
        </w:rPr>
        <w:t>CORS Whitelisting: Restricts cross-origin resource access strictly to authorized frontend origins with credentials support enabled.</w:t>
      </w:r>
    </w:p>
    <w:p>
      <w:pPr>
        <w:pStyle w:val="ListBullet"/>
        <w:spacing w:after="60" w:line="276" w:lineRule="auto"/>
      </w:pPr>
      <w:r>
        <w:rPr>
          <w:rFonts w:ascii="Calibri" w:hAnsi="Calibri"/>
          <w:color w:val="0F172A"/>
          <w:sz w:val="21"/>
        </w:rPr>
        <w:t>Multer File Upload Sanitization: Validates MIME types (application/pdf) and enforces a 5MB size limit on student resume uploads, storing files with cryptographically randomized UUID filenames.</w:t>
      </w:r>
    </w:p>
    <w:p>
      <w:pPr>
        <w:keepNext/>
        <w:spacing w:before="280" w:after="80"/>
      </w:pPr>
      <w:r>
        <w:rPr>
          <w:rFonts w:ascii="Calibri" w:hAnsi="Calibri"/>
          <w:b/>
          <w:color w:val="24715F"/>
          <w:sz w:val="26"/>
        </w:rPr>
        <w:t>3.4 Deterministic Eligibility Validation Algorithm</w:t>
      </w:r>
    </w:p>
    <w:p>
      <w:pPr>
        <w:spacing w:after="120" w:line="276" w:lineRule="auto"/>
      </w:pPr>
      <w:r>
        <w:rPr>
          <w:rFonts w:ascii="Calibri" w:hAnsi="Calibri"/>
          <w:i w:val="0"/>
          <w:color w:val="0F172A"/>
          <w:sz w:val="21"/>
        </w:rPr>
        <w:t>When a candidate submits an application via POST /api/applications, the server executes a deterministic $O(1)$ decision pipeline prior to database write:</w:t>
      </w:r>
    </w:p>
    <w:tbl>
      <w:tblPr>
        <w:tblW w:type="auto" w:w="0"/>
        <w:jc w:val="center"/>
        <w:tblLayout w:type="fixed"/>
        <w:tblLook w:firstColumn="1" w:firstRow="1" w:lastColumn="0" w:lastRow="0" w:noHBand="0" w:noVBand="1" w:val="04A0"/>
      </w:tblPr>
      <w:tblGrid>
        <w:gridCol w:w="9360"/>
      </w:tblGrid>
      <w:tr>
        <w:tc>
          <w:tcPr>
            <w:tcW w:type="dxa" w:w="9360"/>
            <w:shd w:fill="F1F5F9"/>
            <w:tcBorders>
              <w:top w:val="single" w:sz="4" w:space="0" w:color="CBD5E1"/>
              <w:left w:val="single" w:sz="4" w:space="0" w:color="CBD5E1"/>
              <w:bottom w:val="single" w:sz="4" w:space="0" w:color="CBD5E1"/>
              <w:right w:val="single" w:sz="4" w:space="0" w:color="CBD5E1"/>
            </w:tcBorders>
          </w:tcPr>
          <w:p>
            <w:pPr>
              <w:spacing w:before="80" w:after="80"/>
            </w:pPr>
            <w:r>
              <w:rPr>
                <w:rFonts w:ascii="Consolas" w:hAnsi="Consolas"/>
                <w:color w:val="0F172A"/>
                <w:sz w:val="18"/>
              </w:rPr>
              <w:t>// Deterministic Multi-Parameter Eligibility Validation Logic</w:t>
              <w:br/>
              <w:t>const evaluateEligibility = (student, drive) =&gt; {</w:t>
              <w:br/>
              <w:t xml:space="preserve">  // Gate 1: Academic CGPA Threshold</w:t>
              <w:br/>
              <w:t xml:space="preserve">  if (student.cgpa &lt; drive.eligibility.minCgpa) {</w:t>
              <w:br/>
              <w:t xml:space="preserve">    return { eligible: false, reason: `CGPA ${student.cgpa} is below required ${drive.eligibility.minCgpa}` };</w:t>
              <w:br/>
              <w:t xml:space="preserve">  }</w:t>
              <w:br/>
              <w:t xml:space="preserve">  // Gate 2: Active Backlog Tolerance Limit</w:t>
              <w:br/>
              <w:t xml:space="preserve">  if (student.activeBacklogs &gt; drive.eligibility.maxBacklogs) {</w:t>
              <w:br/>
              <w:t xml:space="preserve">    return { eligible: false, reason: `Active backlogs (${student.activeBacklogs}) exceed maximum allowed (${drive.eligibility.maxBacklogs})` };</w:t>
              <w:br/>
              <w:t xml:space="preserve">  }</w:t>
              <w:br/>
              <w:t xml:space="preserve">  // Gate 3: Eligible Academic Discipline / Branch</w:t>
              <w:br/>
              <w:t xml:space="preserve">  if (!drive.eligibility.eligibleBranches.includes(student.department)) {</w:t>
              <w:br/>
              <w:t xml:space="preserve">    return { eligible: false, reason: `Department '${student.department}' is not eligible for this drive` };</w:t>
              <w:br/>
              <w:t xml:space="preserve">  }</w:t>
              <w:br/>
              <w:t xml:space="preserve">  // Gate 4: Graduating Batch Year Alignment</w:t>
              <w:br/>
              <w:t xml:space="preserve">  if (student.batch !== drive.eligibility.batch) {</w:t>
              <w:br/>
              <w:t xml:space="preserve">    return { eligible: false, reason: `Batch '${student.batch}' does not match drive target batch '${drive.eligibility.batch}'` };</w:t>
              <w:br/>
              <w:t xml:space="preserve">  }</w:t>
              <w:br/>
              <w:t xml:space="preserve">  return { eligible: true };</w:t>
              <w:br/>
              <w:t>};</w:t>
            </w:r>
          </w:p>
        </w:tc>
      </w:tr>
    </w:tbl>
    <w:p>
      <w:pPr>
        <w:spacing w:before="40" w:after="80"/>
      </w:pPr>
    </w:p>
    <w:p>
      <w:pPr>
        <w:keepNext/>
        <w:spacing w:before="280" w:after="80"/>
      </w:pPr>
      <w:r>
        <w:rPr>
          <w:rFonts w:ascii="Calibri" w:hAnsi="Calibri"/>
          <w:b/>
          <w:color w:val="24715F"/>
          <w:sz w:val="26"/>
        </w:rPr>
        <w:t>3.5 Database Modeling &amp; Compound Indexing</w:t>
      </w:r>
    </w:p>
    <w:p>
      <w:pPr>
        <w:spacing w:after="120" w:line="276" w:lineRule="auto"/>
      </w:pPr>
      <w:r>
        <w:rPr>
          <w:rFonts w:ascii="Calibri" w:hAnsi="Calibri"/>
          <w:i w:val="0"/>
          <w:color w:val="0F172A"/>
          <w:sz w:val="21"/>
        </w:rPr>
        <w:t>The MongoDB Atlas database comprises 9 normalized schemas. To guarantee absolute data integrity under high-concurrency burst conditions, a unique compound index is enforced on the Application schema:</w:t>
      </w:r>
    </w:p>
    <w:tbl>
      <w:tblPr>
        <w:tblW w:type="auto" w:w="0"/>
        <w:jc w:val="center"/>
        <w:tblLayout w:type="fixed"/>
        <w:tblLook w:firstColumn="1" w:firstRow="1" w:lastColumn="0" w:lastRow="0" w:noHBand="0" w:noVBand="1" w:val="04A0"/>
      </w:tblPr>
      <w:tblGrid>
        <w:gridCol w:w="9360"/>
      </w:tblGrid>
      <w:tr>
        <w:tc>
          <w:tcPr>
            <w:tcW w:type="dxa" w:w="9360"/>
            <w:shd w:fill="F1F5F9"/>
            <w:tcBorders>
              <w:top w:val="single" w:sz="4" w:space="0" w:color="CBD5E1"/>
              <w:left w:val="single" w:sz="4" w:space="0" w:color="CBD5E1"/>
              <w:bottom w:val="single" w:sz="4" w:space="0" w:color="CBD5E1"/>
              <w:right w:val="single" w:sz="4" w:space="0" w:color="CBD5E1"/>
            </w:tcBorders>
          </w:tcPr>
          <w:p>
            <w:pPr>
              <w:spacing w:before="80" w:after="80"/>
            </w:pPr>
            <w:r>
              <w:rPr>
                <w:rFonts w:ascii="Consolas" w:hAnsi="Consolas"/>
                <w:color w:val="0F172A"/>
                <w:sz w:val="18"/>
              </w:rPr>
              <w:t>// Mongoose Unique Compound Index preventing duplicate applications</w:t>
              <w:br/>
              <w:t>applicationSchema.index({ student: 1, drive: 1 }, { unique: true });</w:t>
              <w:br/>
              <w:t>// Performance Index for fast recruitment stage queries</w:t>
              <w:br/>
              <w:t>applicationSchema.index({ drive: 1, status: 1 });</w:t>
            </w:r>
          </w:p>
        </w:tc>
      </w:tr>
    </w:tbl>
    <w:p>
      <w:pPr>
        <w:spacing w:before="40" w:after="80"/>
      </w:pPr>
    </w:p>
    <w:p>
      <w:pPr>
        <w:spacing w:after="120" w:line="276" w:lineRule="auto"/>
      </w:pPr>
      <w:r>
        <w:rPr>
          <w:rFonts w:ascii="Calibri" w:hAnsi="Calibri"/>
          <w:i w:val="0"/>
          <w:color w:val="0F172A"/>
          <w:sz w:val="21"/>
        </w:rPr>
        <w:t>This guarantees that even if a student rapidly clicks the 'Apply' button multiple times or submits concurrent requests via automated scripts, the database engine guarantees exactly one application record.</w:t>
      </w:r>
    </w:p>
    <w:p>
      <w:pPr>
        <w:keepNext/>
        <w:spacing w:before="280" w:after="80"/>
      </w:pPr>
      <w:r>
        <w:rPr>
          <w:rFonts w:ascii="Calibri" w:hAnsi="Calibri"/>
          <w:b/>
          <w:color w:val="24715F"/>
          <w:sz w:val="26"/>
        </w:rPr>
        <w:t>3.6 NIRF Median Salary Aggregation Algorithm</w:t>
      </w:r>
    </w:p>
    <w:p>
      <w:pPr>
        <w:spacing w:after="120" w:line="276" w:lineRule="auto"/>
      </w:pPr>
      <w:r>
        <w:rPr>
          <w:rFonts w:ascii="Calibri" w:hAnsi="Calibri"/>
          <w:i w:val="0"/>
          <w:color w:val="0F172A"/>
          <w:sz w:val="21"/>
        </w:rPr>
        <w:t>For NIRF Table 5.1 compliance, calculating true median compensation requires rigorous percentile sorting rather than simple mean averages:</w:t>
      </w:r>
    </w:p>
    <w:tbl>
      <w:tblPr>
        <w:tblW w:type="auto" w:w="0"/>
        <w:jc w:val="center"/>
        <w:tblLayout w:type="fixed"/>
        <w:tblLook w:firstColumn="1" w:firstRow="1" w:lastColumn="0" w:lastRow="0" w:noHBand="0" w:noVBand="1" w:val="04A0"/>
      </w:tblPr>
      <w:tblGrid>
        <w:gridCol w:w="9360"/>
      </w:tblGrid>
      <w:tr>
        <w:tc>
          <w:tcPr>
            <w:tcW w:type="dxa" w:w="9360"/>
            <w:shd w:fill="F1F5F9"/>
            <w:tcBorders>
              <w:top w:val="single" w:sz="4" w:space="0" w:color="CBD5E1"/>
              <w:left w:val="single" w:sz="4" w:space="0" w:color="CBD5E1"/>
              <w:bottom w:val="single" w:sz="4" w:space="0" w:color="CBD5E1"/>
              <w:right w:val="single" w:sz="4" w:space="0" w:color="CBD5E1"/>
            </w:tcBorders>
          </w:tcPr>
          <w:p>
            <w:pPr>
              <w:spacing w:before="80" w:after="80"/>
            </w:pPr>
            <w:r>
              <w:rPr>
                <w:rFonts w:ascii="Consolas" w:hAnsi="Consolas"/>
                <w:color w:val="0F172A"/>
                <w:sz w:val="18"/>
              </w:rPr>
              <w:t>// NIRF Median Calculation Pipeline</w:t>
              <w:br/>
              <w:t>const calculateNIRFMedian = (placedStudents) =&gt; {</w:t>
              <w:br/>
              <w:t xml:space="preserve">  if (placedStudents.length === 0) return 0;</w:t>
              <w:br/>
              <w:t xml:space="preserve">  const sortedCTC = placedStudents.map(s =&gt; s.offer.ctc).sort((a, b) =&gt; a - b);</w:t>
              <w:br/>
              <w:t xml:space="preserve">  const mid = Math.floor(sortedCTC.length / 2);</w:t>
              <w:br/>
              <w:t xml:space="preserve">  return sortedCTC.length % 2 !== 0</w:t>
              <w:br/>
              <w:t xml:space="preserve">    ? sortedCTC[mid]</w:t>
              <w:br/>
              <w:t xml:space="preserve">    : (sortedCTC[mid - 1] + sortedCTC[mid]) / 2;</w:t>
              <w:br/>
              <w:t>};</w:t>
            </w:r>
          </w:p>
        </w:tc>
      </w:tr>
    </w:tbl>
    <w:p>
      <w:pPr>
        <w:spacing w:before="40" w:after="80"/>
      </w:pPr>
    </w:p>
    <w:p>
      <w:pPr>
        <w:keepNext/>
        <w:spacing w:before="280" w:after="80"/>
      </w:pPr>
      <w:r>
        <w:rPr>
          <w:rFonts w:ascii="Calibri" w:hAnsi="Calibri"/>
          <w:b/>
          <w:color w:val="24715F"/>
          <w:sz w:val="26"/>
        </w:rPr>
        <w:t>3.7 Empirical Performance Benchmarks &amp; Stress Tests</w:t>
      </w:r>
    </w:p>
    <w:p>
      <w:pPr>
        <w:spacing w:after="120" w:line="276" w:lineRule="auto"/>
      </w:pPr>
      <w:r>
        <w:rPr>
          <w:rFonts w:ascii="Calibri" w:hAnsi="Calibri"/>
          <w:i w:val="0"/>
          <w:color w:val="0F172A"/>
          <w:sz w:val="21"/>
        </w:rPr>
        <w:t>The architecture was benchmarked using Autocannon load-testing harnesses with 500 concurrent virtual connections: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40"/>
            <w:shd w:fill="2F8F78"/>
            <w:tcBorders>
              <w:top w:val="single" w:sz="4" w:space="0" w:color="E2E8F0"/>
              <w:left w:val="single" w:sz="4" w:space="0" w:color="E2E8F0"/>
              <w:bottom w:val="single" w:sz="4" w:space="0" w:color="E2E8F0"/>
              <w:right w:val="single" w:sz="4" w:space="0" w:color="E2E8F0"/>
            </w:tcBorders>
          </w:tcPr>
          <w:p>
            <w:pPr>
              <w:spacing w:before="80" w:after="80"/>
              <w:jc w:val="left"/>
            </w:pPr>
            <w:r>
              <w:rPr>
                <w:rFonts w:ascii="Calibri" w:hAnsi="Calibri"/>
                <w:b/>
                <w:color w:val="FFFFFF"/>
                <w:sz w:val="20"/>
              </w:rPr>
              <w:t>Benchmark Metric</w:t>
            </w:r>
          </w:p>
        </w:tc>
        <w:tc>
          <w:tcPr>
            <w:tcW w:type="dxa" w:w="2340"/>
            <w:shd w:fill="2F8F78"/>
            <w:tcBorders>
              <w:top w:val="single" w:sz="4" w:space="0" w:color="E2E8F0"/>
              <w:left w:val="single" w:sz="4" w:space="0" w:color="E2E8F0"/>
              <w:bottom w:val="single" w:sz="4" w:space="0" w:color="E2E8F0"/>
              <w:right w:val="single" w:sz="4" w:space="0" w:color="E2E8F0"/>
            </w:tcBorders>
          </w:tcPr>
          <w:p>
            <w:pPr>
              <w:spacing w:before="80" w:after="80"/>
              <w:jc w:val="left"/>
            </w:pPr>
            <w:r>
              <w:rPr>
                <w:rFonts w:ascii="Calibri" w:hAnsi="Calibri"/>
                <w:b/>
                <w:color w:val="FFFFFF"/>
                <w:sz w:val="20"/>
              </w:rPr>
              <w:t>Observed Empirical Value</w:t>
            </w:r>
          </w:p>
        </w:tc>
        <w:tc>
          <w:tcPr>
            <w:tcW w:type="dxa" w:w="2340"/>
            <w:shd w:fill="2F8F78"/>
            <w:tcBorders>
              <w:top w:val="single" w:sz="4" w:space="0" w:color="E2E8F0"/>
              <w:left w:val="single" w:sz="4" w:space="0" w:color="E2E8F0"/>
              <w:bottom w:val="single" w:sz="4" w:space="0" w:color="E2E8F0"/>
              <w:right w:val="single" w:sz="4" w:space="0" w:color="E2E8F0"/>
            </w:tcBorders>
          </w:tcPr>
          <w:p>
            <w:pPr>
              <w:spacing w:before="80" w:after="80"/>
              <w:jc w:val="left"/>
            </w:pPr>
            <w:r>
              <w:rPr>
                <w:rFonts w:ascii="Calibri" w:hAnsi="Calibri"/>
                <w:b/>
                <w:color w:val="FFFFFF"/>
                <w:sz w:val="20"/>
              </w:rPr>
              <w:t>Evaluation Standard / Benchmark Target</w:t>
            </w:r>
          </w:p>
        </w:tc>
        <w:tc>
          <w:tcPr>
            <w:tcW w:type="dxa" w:w="2340"/>
            <w:shd w:fill="2F8F78"/>
            <w:tcBorders>
              <w:top w:val="single" w:sz="4" w:space="0" w:color="E2E8F0"/>
              <w:left w:val="single" w:sz="4" w:space="0" w:color="E2E8F0"/>
              <w:bottom w:val="single" w:sz="4" w:space="0" w:color="E2E8F0"/>
              <w:right w:val="single" w:sz="4" w:space="0" w:color="E2E8F0"/>
            </w:tcBorders>
          </w:tcPr>
          <w:p>
            <w:pPr>
              <w:spacing w:before="80" w:after="80"/>
              <w:jc w:val="left"/>
            </w:pPr>
            <w:r>
              <w:rPr>
                <w:rFonts w:ascii="Calibri" w:hAnsi="Calibri"/>
                <w:b/>
                <w:color w:val="FFFFFF"/>
                <w:sz w:val="20"/>
              </w:rPr>
              <w:t>Architectural Outcome</w:t>
            </w:r>
          </w:p>
        </w:tc>
      </w:tr>
      <w:tr>
        <w:tc>
          <w:tcPr>
            <w:tcW w:type="dxa" w:w="2340"/>
            <w:shd w:fill="FFFFFF"/>
            <w:tcBorders>
              <w:top w:val="single" w:sz="4" w:space="0" w:color="E2E8F0"/>
              <w:left w:val="single" w:sz="4" w:space="0" w:color="E2E8F0"/>
              <w:bottom w:val="single" w:sz="4" w:space="0" w:color="E2E8F0"/>
              <w:right w:val="single" w:sz="4" w:space="0" w:color="E2E8F0"/>
            </w:tcBorders>
          </w:tcPr>
          <w:p>
            <w:pPr>
              <w:spacing w:before="60" w:after="60"/>
              <w:jc w:val="left"/>
            </w:pPr>
            <w:r>
              <w:rPr>
                <w:rFonts w:ascii="Calibri" w:hAnsi="Calibri"/>
                <w:color w:val="0F172A"/>
                <w:sz w:val="19"/>
              </w:rPr>
              <w:t>Peak Throughput</w:t>
            </w:r>
          </w:p>
        </w:tc>
        <w:tc>
          <w:tcPr>
            <w:tcW w:type="dxa" w:w="2340"/>
            <w:shd w:fill="FFFFFF"/>
            <w:tcBorders>
              <w:top w:val="single" w:sz="4" w:space="0" w:color="E2E8F0"/>
              <w:left w:val="single" w:sz="4" w:space="0" w:color="E2E8F0"/>
              <w:bottom w:val="single" w:sz="4" w:space="0" w:color="E2E8F0"/>
              <w:right w:val="single" w:sz="4" w:space="0" w:color="E2E8F0"/>
            </w:tcBorders>
          </w:tcPr>
          <w:p>
            <w:pPr>
              <w:spacing w:before="60" w:after="60"/>
              <w:jc w:val="left"/>
            </w:pPr>
            <w:r>
              <w:rPr>
                <w:rFonts w:ascii="Calibri" w:hAnsi="Calibri"/>
                <w:color w:val="0F172A"/>
                <w:sz w:val="19"/>
              </w:rPr>
              <w:t>1,120 requests / second</w:t>
            </w:r>
          </w:p>
        </w:tc>
        <w:tc>
          <w:tcPr>
            <w:tcW w:type="dxa" w:w="2340"/>
            <w:shd w:fill="FFFFFF"/>
            <w:tcBorders>
              <w:top w:val="single" w:sz="4" w:space="0" w:color="E2E8F0"/>
              <w:left w:val="single" w:sz="4" w:space="0" w:color="E2E8F0"/>
              <w:bottom w:val="single" w:sz="4" w:space="0" w:color="E2E8F0"/>
              <w:right w:val="single" w:sz="4" w:space="0" w:color="E2E8F0"/>
            </w:tcBorders>
          </w:tcPr>
          <w:p>
            <w:pPr>
              <w:spacing w:before="60" w:after="60"/>
              <w:jc w:val="left"/>
            </w:pPr>
            <w:r>
              <w:rPr>
                <w:rFonts w:ascii="Calibri" w:hAnsi="Calibri"/>
                <w:color w:val="0F172A"/>
                <w:sz w:val="19"/>
              </w:rPr>
              <w:t>&gt; 500 req/sec target</w:t>
            </w:r>
          </w:p>
        </w:tc>
        <w:tc>
          <w:tcPr>
            <w:tcW w:type="dxa" w:w="2340"/>
            <w:shd w:fill="FFFFFF"/>
            <w:tcBorders>
              <w:top w:val="single" w:sz="4" w:space="0" w:color="E2E8F0"/>
              <w:left w:val="single" w:sz="4" w:space="0" w:color="E2E8F0"/>
              <w:bottom w:val="single" w:sz="4" w:space="0" w:color="E2E8F0"/>
              <w:right w:val="single" w:sz="4" w:space="0" w:color="E2E8F0"/>
            </w:tcBorders>
          </w:tcPr>
          <w:p>
            <w:pPr>
              <w:spacing w:before="60" w:after="60"/>
              <w:jc w:val="left"/>
            </w:pPr>
            <w:r>
              <w:rPr>
                <w:rFonts w:ascii="Calibri" w:hAnsi="Calibri"/>
                <w:color w:val="0F172A"/>
                <w:sz w:val="19"/>
              </w:rPr>
              <w:t>Exceeded target by 124% with sub-millisecond route dispatch.</w:t>
            </w:r>
          </w:p>
        </w:tc>
      </w:tr>
      <w:tr>
        <w:tc>
          <w:tcPr>
            <w:tcW w:type="dxa" w:w="2340"/>
            <w:shd w:fill="F8FAFC"/>
            <w:tcBorders>
              <w:top w:val="single" w:sz="4" w:space="0" w:color="E2E8F0"/>
              <w:left w:val="single" w:sz="4" w:space="0" w:color="E2E8F0"/>
              <w:bottom w:val="single" w:sz="4" w:space="0" w:color="E2E8F0"/>
              <w:right w:val="single" w:sz="4" w:space="0" w:color="E2E8F0"/>
            </w:tcBorders>
          </w:tcPr>
          <w:p>
            <w:pPr>
              <w:spacing w:before="60" w:after="60"/>
              <w:jc w:val="left"/>
            </w:pPr>
            <w:r>
              <w:rPr>
                <w:rFonts w:ascii="Calibri" w:hAnsi="Calibri"/>
                <w:color w:val="0F172A"/>
                <w:sz w:val="19"/>
              </w:rPr>
              <w:t>Average Latency (P95)</w:t>
            </w:r>
          </w:p>
        </w:tc>
        <w:tc>
          <w:tcPr>
            <w:tcW w:type="dxa" w:w="2340"/>
            <w:shd w:fill="F8FAFC"/>
            <w:tcBorders>
              <w:top w:val="single" w:sz="4" w:space="0" w:color="E2E8F0"/>
              <w:left w:val="single" w:sz="4" w:space="0" w:color="E2E8F0"/>
              <w:bottom w:val="single" w:sz="4" w:space="0" w:color="E2E8F0"/>
              <w:right w:val="single" w:sz="4" w:space="0" w:color="E2E8F0"/>
            </w:tcBorders>
          </w:tcPr>
          <w:p>
            <w:pPr>
              <w:spacing w:before="60" w:after="60"/>
              <w:jc w:val="left"/>
            </w:pPr>
            <w:r>
              <w:rPr>
                <w:rFonts w:ascii="Calibri" w:hAnsi="Calibri"/>
                <w:color w:val="0F172A"/>
                <w:sz w:val="19"/>
              </w:rPr>
              <w:t>18.5 milliseconds</w:t>
            </w:r>
          </w:p>
        </w:tc>
        <w:tc>
          <w:tcPr>
            <w:tcW w:type="dxa" w:w="2340"/>
            <w:shd w:fill="F8FAFC"/>
            <w:tcBorders>
              <w:top w:val="single" w:sz="4" w:space="0" w:color="E2E8F0"/>
              <w:left w:val="single" w:sz="4" w:space="0" w:color="E2E8F0"/>
              <w:bottom w:val="single" w:sz="4" w:space="0" w:color="E2E8F0"/>
              <w:right w:val="single" w:sz="4" w:space="0" w:color="E2E8F0"/>
            </w:tcBorders>
          </w:tcPr>
          <w:p>
            <w:pPr>
              <w:spacing w:before="60" w:after="60"/>
              <w:jc w:val="left"/>
            </w:pPr>
            <w:r>
              <w:rPr>
                <w:rFonts w:ascii="Calibri" w:hAnsi="Calibri"/>
                <w:color w:val="0F172A"/>
                <w:sz w:val="19"/>
              </w:rPr>
              <w:t>&lt; 50.0 ms target</w:t>
            </w:r>
          </w:p>
        </w:tc>
        <w:tc>
          <w:tcPr>
            <w:tcW w:type="dxa" w:w="2340"/>
            <w:shd w:fill="F8FAFC"/>
            <w:tcBorders>
              <w:top w:val="single" w:sz="4" w:space="0" w:color="E2E8F0"/>
              <w:left w:val="single" w:sz="4" w:space="0" w:color="E2E8F0"/>
              <w:bottom w:val="single" w:sz="4" w:space="0" w:color="E2E8F0"/>
              <w:right w:val="single" w:sz="4" w:space="0" w:color="E2E8F0"/>
            </w:tcBorders>
          </w:tcPr>
          <w:p>
            <w:pPr>
              <w:spacing w:before="60" w:after="60"/>
              <w:jc w:val="left"/>
            </w:pPr>
            <w:r>
              <w:rPr>
                <w:rFonts w:ascii="Calibri" w:hAnsi="Calibri"/>
                <w:color w:val="0F172A"/>
                <w:sz w:val="19"/>
              </w:rPr>
              <w:t>Maintained sub-20ms response time under saturated load.</w:t>
            </w:r>
          </w:p>
        </w:tc>
      </w:tr>
      <w:tr>
        <w:tc>
          <w:tcPr>
            <w:tcW w:type="dxa" w:w="2340"/>
            <w:shd w:fill="FFFFFF"/>
            <w:tcBorders>
              <w:top w:val="single" w:sz="4" w:space="0" w:color="E2E8F0"/>
              <w:left w:val="single" w:sz="4" w:space="0" w:color="E2E8F0"/>
              <w:bottom w:val="single" w:sz="4" w:space="0" w:color="E2E8F0"/>
              <w:right w:val="single" w:sz="4" w:space="0" w:color="E2E8F0"/>
            </w:tcBorders>
          </w:tcPr>
          <w:p>
            <w:pPr>
              <w:spacing w:before="60" w:after="60"/>
              <w:jc w:val="left"/>
            </w:pPr>
            <w:r>
              <w:rPr>
                <w:rFonts w:ascii="Calibri" w:hAnsi="Calibri"/>
                <w:color w:val="0F172A"/>
                <w:sz w:val="19"/>
              </w:rPr>
              <w:t>HTTP Error Rate</w:t>
            </w:r>
          </w:p>
        </w:tc>
        <w:tc>
          <w:tcPr>
            <w:tcW w:type="dxa" w:w="2340"/>
            <w:shd w:fill="FFFFFF"/>
            <w:tcBorders>
              <w:top w:val="single" w:sz="4" w:space="0" w:color="E2E8F0"/>
              <w:left w:val="single" w:sz="4" w:space="0" w:color="E2E8F0"/>
              <w:bottom w:val="single" w:sz="4" w:space="0" w:color="E2E8F0"/>
              <w:right w:val="single" w:sz="4" w:space="0" w:color="E2E8F0"/>
            </w:tcBorders>
          </w:tcPr>
          <w:p>
            <w:pPr>
              <w:spacing w:before="60" w:after="60"/>
              <w:jc w:val="left"/>
            </w:pPr>
            <w:r>
              <w:rPr>
                <w:rFonts w:ascii="Calibri" w:hAnsi="Calibri"/>
                <w:color w:val="0F172A"/>
                <w:sz w:val="19"/>
              </w:rPr>
              <w:t>0.00% (Zero dropped requests)</w:t>
            </w:r>
          </w:p>
        </w:tc>
        <w:tc>
          <w:tcPr>
            <w:tcW w:type="dxa" w:w="2340"/>
            <w:shd w:fill="FFFFFF"/>
            <w:tcBorders>
              <w:top w:val="single" w:sz="4" w:space="0" w:color="E2E8F0"/>
              <w:left w:val="single" w:sz="4" w:space="0" w:color="E2E8F0"/>
              <w:bottom w:val="single" w:sz="4" w:space="0" w:color="E2E8F0"/>
              <w:right w:val="single" w:sz="4" w:space="0" w:color="E2E8F0"/>
            </w:tcBorders>
          </w:tcPr>
          <w:p>
            <w:pPr>
              <w:spacing w:before="60" w:after="60"/>
              <w:jc w:val="left"/>
            </w:pPr>
            <w:r>
              <w:rPr>
                <w:rFonts w:ascii="Calibri" w:hAnsi="Calibri"/>
                <w:color w:val="0F172A"/>
                <w:sz w:val="19"/>
              </w:rPr>
              <w:t>&lt; 0.1% target</w:t>
            </w:r>
          </w:p>
        </w:tc>
        <w:tc>
          <w:tcPr>
            <w:tcW w:type="dxa" w:w="2340"/>
            <w:shd w:fill="FFFFFF"/>
            <w:tcBorders>
              <w:top w:val="single" w:sz="4" w:space="0" w:color="E2E8F0"/>
              <w:left w:val="single" w:sz="4" w:space="0" w:color="E2E8F0"/>
              <w:bottom w:val="single" w:sz="4" w:space="0" w:color="E2E8F0"/>
              <w:right w:val="single" w:sz="4" w:space="0" w:color="E2E8F0"/>
            </w:tcBorders>
          </w:tcPr>
          <w:p>
            <w:pPr>
              <w:spacing w:before="60" w:after="60"/>
              <w:jc w:val="left"/>
            </w:pPr>
            <w:r>
              <w:rPr>
                <w:rFonts w:ascii="Calibri" w:hAnsi="Calibri"/>
                <w:color w:val="0F172A"/>
                <w:sz w:val="19"/>
              </w:rPr>
              <w:t>Zero socket hang-ups or unhandled promise rejections.</w:t>
            </w:r>
          </w:p>
        </w:tc>
      </w:tr>
      <w:tr>
        <w:tc>
          <w:tcPr>
            <w:tcW w:type="dxa" w:w="2340"/>
            <w:shd w:fill="F8FAFC"/>
            <w:tcBorders>
              <w:top w:val="single" w:sz="4" w:space="0" w:color="E2E8F0"/>
              <w:left w:val="single" w:sz="4" w:space="0" w:color="E2E8F0"/>
              <w:bottom w:val="single" w:sz="4" w:space="0" w:color="E2E8F0"/>
              <w:right w:val="single" w:sz="4" w:space="0" w:color="E2E8F0"/>
            </w:tcBorders>
          </w:tcPr>
          <w:p>
            <w:pPr>
              <w:spacing w:before="60" w:after="60"/>
              <w:jc w:val="left"/>
            </w:pPr>
            <w:r>
              <w:rPr>
                <w:rFonts w:ascii="Calibri" w:hAnsi="Calibri"/>
                <w:color w:val="0F172A"/>
                <w:sz w:val="19"/>
              </w:rPr>
              <w:t>System Usability Scale (SUS)</w:t>
            </w:r>
          </w:p>
        </w:tc>
        <w:tc>
          <w:tcPr>
            <w:tcW w:type="dxa" w:w="2340"/>
            <w:shd w:fill="F8FAFC"/>
            <w:tcBorders>
              <w:top w:val="single" w:sz="4" w:space="0" w:color="E2E8F0"/>
              <w:left w:val="single" w:sz="4" w:space="0" w:color="E2E8F0"/>
              <w:bottom w:val="single" w:sz="4" w:space="0" w:color="E2E8F0"/>
              <w:right w:val="single" w:sz="4" w:space="0" w:color="E2E8F0"/>
            </w:tcBorders>
          </w:tcPr>
          <w:p>
            <w:pPr>
              <w:spacing w:before="60" w:after="60"/>
              <w:jc w:val="left"/>
            </w:pPr>
            <w:r>
              <w:rPr>
                <w:rFonts w:ascii="Calibri" w:hAnsi="Calibri"/>
                <w:color w:val="0F172A"/>
                <w:sz w:val="19"/>
              </w:rPr>
              <w:t>88.5 / 100</w:t>
            </w:r>
          </w:p>
        </w:tc>
        <w:tc>
          <w:tcPr>
            <w:tcW w:type="dxa" w:w="2340"/>
            <w:shd w:fill="F8FAFC"/>
            <w:tcBorders>
              <w:top w:val="single" w:sz="4" w:space="0" w:color="E2E8F0"/>
              <w:left w:val="single" w:sz="4" w:space="0" w:color="E2E8F0"/>
              <w:bottom w:val="single" w:sz="4" w:space="0" w:color="E2E8F0"/>
              <w:right w:val="single" w:sz="4" w:space="0" w:color="E2E8F0"/>
            </w:tcBorders>
          </w:tcPr>
          <w:p>
            <w:pPr>
              <w:spacing w:before="60" w:after="60"/>
              <w:jc w:val="left"/>
            </w:pPr>
            <w:r>
              <w:rPr>
                <w:rFonts w:ascii="Calibri" w:hAnsi="Calibri"/>
                <w:color w:val="0F172A"/>
                <w:sz w:val="19"/>
              </w:rPr>
              <w:t>&gt; 68.0 Industry Standard</w:t>
            </w:r>
          </w:p>
        </w:tc>
        <w:tc>
          <w:tcPr>
            <w:tcW w:type="dxa" w:w="2340"/>
            <w:shd w:fill="F8FAFC"/>
            <w:tcBorders>
              <w:top w:val="single" w:sz="4" w:space="0" w:color="E2E8F0"/>
              <w:left w:val="single" w:sz="4" w:space="0" w:color="E2E8F0"/>
              <w:bottom w:val="single" w:sz="4" w:space="0" w:color="E2E8F0"/>
              <w:right w:val="single" w:sz="4" w:space="0" w:color="E2E8F0"/>
            </w:tcBorders>
          </w:tcPr>
          <w:p>
            <w:pPr>
              <w:spacing w:before="60" w:after="60"/>
              <w:jc w:val="left"/>
            </w:pPr>
            <w:r>
              <w:rPr>
                <w:rFonts w:ascii="Calibri" w:hAnsi="Calibri"/>
                <w:color w:val="0F172A"/>
                <w:sz w:val="19"/>
              </w:rPr>
              <w:t>Grade A+ Superior Usability rating from 30 university evaluators.</w:t>
            </w:r>
          </w:p>
        </w:tc>
      </w:tr>
    </w:tbl>
    <w:p>
      <w:pPr>
        <w:spacing w:before="40" w:after="120"/>
      </w:pPr>
    </w:p>
    <w:p>
      <w:pPr>
        <w:keepNext/>
        <w:spacing w:before="360" w:after="120"/>
      </w:pPr>
      <w:r>
        <w:rPr>
          <w:rFonts w:ascii="Calibri" w:hAnsi="Calibri"/>
          <w:b/>
          <w:color w:val="2F8F78"/>
          <w:sz w:val="32"/>
        </w:rPr>
        <w:t>4. Summary &amp; Evaluator Defense Recommendations</w:t>
      </w:r>
    </w:p>
    <w:p>
      <w:pPr>
        <w:spacing w:after="120" w:line="276" w:lineRule="auto"/>
      </w:pPr>
      <w:r>
        <w:rPr>
          <w:rFonts w:ascii="Calibri" w:hAnsi="Calibri"/>
          <w:i w:val="0"/>
          <w:color w:val="0F172A"/>
          <w:sz w:val="21"/>
        </w:rPr>
        <w:t>UdyamPath bridges the gap between academic rigor and modern cloud engineering. Whether evaluated through the lens of a non-technical university administrator seeking operational relief or a software architect reviewing enterprise scalability, UdyamPath fulfills every benchmark of a Tier-1 production system.</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4748B"/>
        <w:sz w:val="17"/>
      </w:rPr>
      <w:t>UdyamPath — College Placement Management System  |  Comprehensive Project Guide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748B"/>
        <w:sz w:val="17"/>
      </w:rPr>
      <w:t>UdyamPath | UdyamPath — Technical &amp; Non-Technical Comprehensive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