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Firmware Security Implementation —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Inofly — Flight Module firmware manufacturer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Flight controller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CubePilot CubeOrange+ (STM32H743)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Firmware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PX4-based secured fork (</w:t>
            </w:r>
            <w:r>
              <w:rPr>
                <w:rFonts w:ascii="Consolas" w:hAnsi="Consolas"/>
                <w:sz w:val="18"/>
              </w:rPr>
              <w:t>inoflyPilot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Ground station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QGroundControl secured fork (</w:t>
            </w:r>
            <w:r>
              <w:rPr>
                <w:rFonts w:ascii="Consolas" w:hAnsi="Consolas"/>
                <w:sz w:val="18"/>
              </w:rPr>
              <w:t>inoflyGCU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DGCA Certification Scheme for UAS, </w:t>
            </w:r>
            <w:r>
              <w:rPr>
                <w:b/>
                <w:sz w:val="18"/>
              </w:rPr>
              <w:t>Section 7.1</w:t>
            </w:r>
            <w:r>
              <w:rPr>
                <w:sz w:val="18"/>
              </w:rPr>
              <w:t xml:space="preserve"> — Level 1 (Annexure E)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Section 7.1 controls </w:t>
            </w:r>
            <w:r>
              <w:rPr>
                <w:b/>
                <w:sz w:val="18"/>
              </w:rPr>
              <w:t>implemented and validated on production hardware</w:t>
            </w:r>
          </w:p>
        </w:tc>
      </w:tr>
    </w:tbl>
    <w:p>
      <w:pPr>
        <w:pStyle w:val="Heading2"/>
      </w:pPr>
      <w:r>
        <w:t>1. What the requirement asked for</w:t>
      </w:r>
    </w:p>
    <w:p>
      <w:r>
        <w:t xml:space="preserve">Section 7.1 requires a firmware manufacturer to prove four things: that the aircraft </w:t>
      </w:r>
      <w:r>
        <w:rPr>
          <w:b/>
        </w:rPr>
        <w:t>will not operate on altered firmware</w:t>
      </w:r>
      <w:r>
        <w:t xml:space="preserve"> (7.1 a), that a </w:t>
      </w:r>
      <w:r>
        <w:rPr>
          <w:b/>
        </w:rPr>
        <w:t>firmware update is accepted only when the manufacturer has signed it</w:t>
      </w:r>
      <w:r>
        <w:t xml:space="preserve"> (7.1 b), that </w:t>
      </w:r>
      <w:r>
        <w:rPr>
          <w:b/>
        </w:rPr>
        <w:t>compliance-critical flight parameters cannot be changed</w:t>
      </w:r>
      <w:r>
        <w:t xml:space="preserve"> outside the manufacturer's authorised process (7.1 c), and that </w:t>
      </w:r>
      <w:r>
        <w:rPr>
          <w:b/>
        </w:rPr>
        <w:t>on-board logs are signed</w:t>
      </w:r>
      <w:r>
        <w:t xml:space="preserve"> so tampering is detectable offline. Annexure E additionally requires a root of trust inside the flight module for Level 1.</w:t>
      </w:r>
    </w:p>
    <w:p>
      <w:pPr>
        <w:pStyle w:val="Heading2"/>
      </w:pPr>
      <w:r>
        <w:t>2. What we implemented</w:t>
      </w:r>
    </w:p>
    <w:p>
      <w:r>
        <w:t xml:space="preserve">The whole design rests on one idea: a </w:t>
      </w:r>
      <w:r>
        <w:rPr>
          <w:b/>
        </w:rPr>
        <w:t>single manufacturer RSA-2048 signing key</w:t>
      </w:r>
      <w:r>
        <w:t xml:space="preserve"> is the root of trust. Its private half never leaves our offline signing environment; its public half is compiled into the flight module. The aircraft trusts only what that key has signed — its firmware, its checksums, its updates and its own log — and it holds nothing an attacker could use to forge a signature.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we built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Root of trust</w:t>
            </w:r>
            <w:r>
              <w:rPr>
                <w:sz w:val="18"/>
              </w:rPr>
              <w:t xml:space="preserve"> (Annexure E, Level 1)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RSA-2048 manufacturer keypair; public key embedded in both the bootloader and the application firmware. All signing and verification executes on the STM32H743 inside the flight module — no companion computer, no key in transit.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7.1 a — Firmware tamper avoidance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verifying secure bootloader</w:t>
            </w:r>
            <w:r>
              <w:rPr>
                <w:sz w:val="18"/>
              </w:rPr>
              <w:t xml:space="preserve"> checks the RSA-PSS signature of the application firmware on every power-on and refuses to launch an unsigned or modified image.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7.1 a.ii — Registered checksums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Each release pipeline run emits </w:t>
            </w:r>
            <w:r>
              <w:rPr>
                <w:b/>
                <w:sz w:val="18"/>
              </w:rPr>
              <w:t>separate SHA-256 checksums for the code part and the data part</w:t>
            </w:r>
            <w:r>
              <w:rPr>
                <w:sz w:val="18"/>
              </w:rPr>
              <w:t>, packaged in an RSA-signed manifest provisioned onto the flight module. Registered checksums cannot be altered without invalidating the signature.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7.1 a.iii — Power-On Self-Test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POST runs automatically at every boot: manifest CRC → manifest signature → live re-hash of code flash → live re-hash of parameter flash → board-ID check. Every result, pass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fail, is written to the security audit log.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7.1 a.iv — Effect of a mismatch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Any mismatch </w:t>
            </w:r>
            <w:r>
              <w:rPr>
                <w:b/>
                <w:sz w:val="18"/>
              </w:rPr>
              <w:t>blocks arming</w:t>
            </w:r>
            <w:r>
              <w:rPr>
                <w:sz w:val="18"/>
              </w:rPr>
              <w:t xml:space="preserve"> through the flight-controller health gate, is logged with a distinct failure reason, and is reported in the ground station. The aircraft cannot take off.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7.1 b — Secure firmware update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Signature verification at </w:t>
            </w:r>
            <w:r>
              <w:rPr>
                <w:b/>
                <w:sz w:val="18"/>
              </w:rPr>
              <w:t>three independent layers</w:t>
            </w:r>
            <w:r>
              <w:rPr>
                <w:sz w:val="18"/>
              </w:rPr>
              <w:t>: the ground station verifies the bundle before offering to install; the flight module independently re-verifies the manifest and binds it by hash to the staged image; the bootloader re-verifies the image before erasing any flash. Updates are torn-write-safe and survive power loss, carry anti-rollback protection, and every attempt — accepted or rejected — is logged. The bootloader itself can only be replaced by a signed bootloader image.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7.1 c — Secure change of flight parameters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Certified values are </w:t>
            </w:r>
            <w:r>
              <w:rPr>
                <w:b/>
                <w:sz w:val="18"/>
              </w:rPr>
              <w:t>compiled into a protected flash table covered by the data checksum</w:t>
            </w:r>
            <w:r>
              <w:rPr>
                <w:sz w:val="18"/>
              </w:rPr>
              <w:t>. Three mission caps (max altitude 120 m, fence range 500 m, max speed 15 m/s) accept operator values only up to the certified ceiling and never persist; three configuration values (airframe model, frame class, MAVLink signing required) are locked to the certified value. Every rejected attempt is audit-logged. Changing a certified value requires a new signed firmware release.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Log file signing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The flight module writes a CRC-protected binary security log to SD and, after every write, seals it with the root of trust. We verify it offline with the private key; any edit is detected. A decoder renders it human-readable.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Ground station ↔ aircraft authentication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MAVLink v2 message signing with a per-drone key provisioned at manufacture. A ground station without the key cannot command the aircraft over a telemetry link. Signing-required is a locked parameter; a direct USB cable connection is exempt by design, so a unit can always be serviced on the bench behind its tamper seal.</w:t>
            </w:r>
          </w:p>
        </w:tc>
        <w:tc>
          <w:tcPr>
            <w:tcW w:type="dxa" w:w="3408"/>
          </w:tcPr>
          <w:p>
            <w:pPr>
              <w:spacing w:before="0" w:after="0"/>
            </w:pPr>
            <w:r>
              <w:rPr>
                <w:sz w:val="18"/>
              </w:rPr>
            </w:r>
            <w:r>
              <w:rPr>
                <w:sz w:val="18"/>
              </w:rPr>
              <w:t>Implemented</w:t>
            </w:r>
          </w:p>
        </w:tc>
      </w:tr>
    </w:tbl>
    <w:p>
      <w:pPr>
        <w:pStyle w:val="Heading2"/>
      </w:pPr>
      <w:r>
        <w:t>3. Delivered components</w:t>
      </w:r>
    </w:p>
    <w:p>
      <w:pPr>
        <w:pStyle w:val="ListBullet"/>
      </w:pPr>
      <w:r>
        <w:rPr>
          <w:b/>
        </w:rPr>
        <w:t>Flight-module firmware</w:t>
      </w:r>
      <w:r>
        <w:t xml:space="preserve"> — secure bootloader plus a </w:t>
      </w:r>
      <w:r>
        <w:rPr>
          <w:rFonts w:ascii="Consolas" w:hAnsi="Consolas"/>
          <w:sz w:val="19"/>
        </w:rPr>
        <w:t>secure_boot</w:t>
      </w:r>
      <w:r>
        <w:t xml:space="preserve"> module providing POST, the arming gate, the update gate, compliance-parameter enforcement and the signed audit logger.</w:t>
      </w:r>
    </w:p>
    <w:p>
      <w:pPr>
        <w:pStyle w:val="ListBullet"/>
      </w:pPr>
      <w:r>
        <w:rPr>
          <w:b/>
        </w:rPr>
        <w:t>Ground station</w:t>
      </w:r>
      <w:r>
        <w:t xml:space="preserve"> — secure firmware-update page with client-side signature verification, a security status panel and an audit-log download/inspection panel.</w:t>
      </w:r>
    </w:p>
    <w:p>
      <w:pPr>
        <w:pStyle w:val="ListBullet"/>
      </w:pPr>
      <w:r>
        <w:rPr>
          <w:b/>
        </w:rPr>
        <w:t>Manufacturer tooling (offline)</w:t>
      </w:r>
      <w:r>
        <w:t xml:space="preserve"> — key generation, checksum generation, firmware and bootloader signing, release-bundle pipeline, drone provisioning, and offline audit-log verification and decoding.</w:t>
      </w:r>
    </w:p>
    <w:p>
      <w:pPr>
        <w:pStyle w:val="ListBullet"/>
      </w:pPr>
      <w:r>
        <w:rPr>
          <w:b/>
        </w:rPr>
        <w:t>Documentation set</w:t>
      </w:r>
      <w:r>
        <w:t xml:space="preserve"> — compliance mapping to every Section 7.1 clause, architecture and threat model, certified build identity sheet, firmware flashing SOP, manufacturing runbook and a witness-ready test runbook.</w:t>
      </w:r>
    </w:p>
    <w:p>
      <w:pPr>
        <w:pStyle w:val="Heading2"/>
      </w:pPr>
      <w:r>
        <w:t>4. Verification performed</w:t>
      </w:r>
    </w:p>
    <w:p>
      <w:pPr>
        <w:pStyle w:val="ListBullet"/>
      </w:pPr>
      <w:r>
        <w:rPr>
          <w:b/>
        </w:rPr>
        <w:t>424 automated compliance tests pass</w:t>
      </w:r>
      <w:r>
        <w:t>, mapped requirement-by-requirement (16 requirement IDs, zero failures, zero gaps).</w:t>
      </w:r>
    </w:p>
    <w:p>
      <w:pPr>
        <w:pStyle w:val="ListBullet"/>
      </w:pPr>
      <w:r>
        <w:rPr>
          <w:b/>
        </w:rPr>
        <w:t>Full hardware acceptance on CubeOrange+</w:t>
      </w:r>
      <w:r>
        <w:t xml:space="preserve"> — tamper detection, arming block, parameter enforcement, log signing and update rejection all demonstrated on real silicon rather than in simulation.</w:t>
      </w:r>
    </w:p>
    <w:p>
      <w:pPr>
        <w:pStyle w:val="ListBullet"/>
      </w:pPr>
      <w:r>
        <w:rPr>
          <w:b/>
        </w:rPr>
        <w:t>Secure-bootloader bring-up completed on hardware</w:t>
      </w:r>
      <w:r>
        <w:t>, including signed bootloader replacement, a signed firmware update applied end to end on the aircraft — verify, flash, activate the new registered checksums at the next boot — and unattended recovery from power loss mid-update.</w:t>
      </w:r>
    </w:p>
    <w:p>
      <w:pPr>
        <w:pStyle w:val="ListBullet"/>
      </w:pPr>
      <w:r>
        <w:t>Each attack path was exercised and observed to fail closed: tampered bundle, tampered manifest, attacker-signed artefact, modified firmware image, unsigned bootloader, and out-of-range or locked parameter writes.</w:t>
      </w:r>
    </w:p>
    <w:p>
      <w:pPr>
        <w:pStyle w:val="Heading2"/>
      </w:pPr>
      <w:r>
        <w:t>5. Position and next steps</w:t>
      </w:r>
    </w:p>
    <w:p>
      <w:r>
        <w:t xml:space="preserve">We act solely as the </w:t>
      </w:r>
      <w:r>
        <w:rPr>
          <w:b/>
        </w:rPr>
        <w:t>firmware manufacturer</w:t>
      </w:r>
      <w:r>
        <w:t xml:space="preserve"> — we build, sign and checksum the firmware and enforce integrity on the aircraft. The Certification Body remains a separate party: it counter-signs and retains the registered checksums, confirms the production signing-key provenance, and witnesses the live test session, for which a step-by-step runbook is prepared. The remaining work before submission is to regenerate the build identity sheet from the </w:t>
      </w:r>
      <w:r>
        <w:rPr>
          <w:b/>
        </w:rPr>
        <w:t>production</w:t>
      </w:r>
      <w:r>
        <w:t xml:space="preserve"> signing key in place of the current bench test key.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