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090"/>
          <w:sz w:val="40"/>
          <w:szCs w:val="40"/>
        </w:rPr>
        <w:t xml:space="preserve">Intelligent Business Analytics &amp; Forecasting System</w:t>
      </w:r>
    </w:p>
    <w:p>
      <w:pPr>
        <w:spacing w:after="40"/>
      </w:pPr>
      <w:r>
        <w:rPr>
          <w:color w:val="444444"/>
          <w:sz w:val="26"/>
          <w:szCs w:val="26"/>
        </w:rPr>
        <w:t xml:space="preserve">Model Comparison Report — ML Mini Project</w:t>
      </w:r>
    </w:p>
    <w:p>
      <w:pPr>
        <w:spacing w:after="400"/>
      </w:pPr>
      <w:r>
        <w:rPr>
          <w:i/>
          <w:iCs/>
          <w:color w:val="666666"/>
          <w:sz w:val="20"/>
          <w:szCs w:val="20"/>
        </w:rPr>
        <w:t xml:space="preserve">Dataset: Olist Brazilian E-Commerce Public Dataset</w:t>
      </w:r>
    </w:p>
    <w:p>
      <w:pPr>
        <w:pStyle w:val="Heading1"/>
        <w:spacing w:after="120" w:before="240"/>
      </w:pPr>
      <w:r>
        <w:t xml:space="preserve">1. Executive Summary</w:t>
      </w:r>
    </w:p>
    <w:p>
      <w:pPr>
        <w:spacing w:after="160"/>
      </w:pPr>
      <w:r>
        <w:rPr>
          <w:b w:val="false"/>
          <w:bCs w:val="false"/>
          <w:i w:val="false"/>
          <w:iCs w:val="false"/>
        </w:rPr>
        <w:t xml:space="preserve">This report summarizes the results of a four-part machine learning system built on Olist's e-commerce dataset (99,441 orders, Sept 2016 - Oct 2018): (1) predictive modeling for delivery time and delivery delay, (2) customer segmentation via clustering, (3) NLP-based sentiment analysis on customer reviews, and (4) time-series forecasting of monthly sales revenue. Every result below comes from models actually trained and evaluated in the accompanying Jupyter notebook — no figure in this report is estimated or illustrative.</w:t>
      </w:r>
    </w:p>
    <w:p>
      <w:pPr>
        <w:spacing w:after="160"/>
      </w:pPr>
      <w:r>
        <w:rPr>
          <w:b w:val="false"/>
          <w:bCs w:val="false"/>
          <w:i w:val="false"/>
          <w:iCs w:val="false"/>
        </w:rPr>
        <w:t xml:space="preserve">A theme that surfaced independently across three separate modules: delivery performance is the single strongest driver of customer experience on this platform. It is the top feature for predicting delivery delay, the clearest separator between the happiest and least-satisfied customer segments, and the dominant topic in negative review text.</w:t>
      </w:r>
    </w:p>
    <w:p>
      <w:pPr>
        <w:pStyle w:val="Heading1"/>
        <w:spacing w:after="120" w:before="240"/>
      </w:pPr>
      <w:r>
        <w:t xml:space="preserve">2. Dataset Overview</w:t>
      </w:r>
    </w:p>
    <w:p>
      <w:pPr>
        <w:spacing w:after="160"/>
      </w:pPr>
      <w:r>
        <w:rPr>
          <w:b w:val="false"/>
          <w:bCs w:val="false"/>
          <w:i w:val="false"/>
          <w:iCs w:val="false"/>
        </w:rPr>
        <w:t xml:space="preserve">The Olist dataset spans 9 relational CSV files covering orders, order items, products, payments, reviews, customers, sellers, and geolocation. After filtering to delivered orders with a confirmed delivery date, 96,470 orders were used for the supervised learning and pipeline modules; 93,350 unique customers were used for segmentation; 37,053 written reviews were used for sentiment analysis; and 20 clean months (Jan 2017 - Aug 2018) were used for sales forecasting, after excluding incomplete ramp-up and cutoff months.</w:t>
      </w:r>
    </w:p>
    <w:p>
      <w:pPr>
        <w:pStyle w:val="Heading1"/>
        <w:spacing w:after="120" w:before="240"/>
      </w:pPr>
      <w:r>
        <w:t xml:space="preserve">3. Module 1 — Predictive Modeling (Regression + Classification)</w:t>
      </w:r>
    </w:p>
    <w:p>
      <w:pPr>
        <w:spacing w:after="160"/>
      </w:pPr>
      <w:r>
        <w:rPr>
          <w:b w:val="false"/>
          <w:bCs w:val="false"/>
          <w:i w:val="false"/>
          <w:iCs w:val="false"/>
        </w:rPr>
        <w:t xml:space="preserve">Two targets were defined from the data: delivery_time_days (regression — how long delivery actually took) and is_late (classification — whether delivery arrived after the promised date). Both share one feature set built from order, product, payment, and location attributes known at order time; is_late affects only about 8% of orders, a meaningfully imbalanced target.</w:t>
      </w:r>
    </w:p>
    <w:p>
      <w:pPr>
        <w:pStyle w:val="Heading2"/>
        <w:spacing w:after="120" w:before="240"/>
      </w:pPr>
      <w:r>
        <w:t xml:space="preserve">3.1 Regression Results (predicting delivery_time_days)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shd w:fill="2E5090" w:color="auto" w:val="clear"/>
          </w:tcPr>
          <w:p>
            <w:r>
              <w:rPr>
                <w:b/>
                <w:bCs/>
                <w:color w:val="FFFFFF"/>
                <w:sz w:val="18"/>
                <w:szCs w:val="18"/>
              </w:rPr>
              <w:t xml:space="preserve">Model</w:t>
            </w:r>
          </w:p>
        </w:tc>
        <w:tc>
          <w:tcPr>
            <w:tcW w:type="dxa" w:w="2080"/>
            <w:shd w:fill="2E5090" w:color="auto" w:val="clear"/>
          </w:tcPr>
          <w:p>
            <w:r>
              <w:rPr>
                <w:b/>
                <w:bCs/>
                <w:color w:val="FFFFFF"/>
                <w:sz w:val="18"/>
                <w:szCs w:val="18"/>
              </w:rPr>
              <w:t xml:space="preserve">MAE (days)</w:t>
            </w:r>
          </w:p>
        </w:tc>
        <w:tc>
          <w:tcPr>
            <w:tcW w:type="dxa" w:w="2080"/>
            <w:shd w:fill="2E5090" w:color="auto" w:val="clear"/>
          </w:tcPr>
          <w:p>
            <w:r>
              <w:rPr>
                <w:b/>
                <w:bCs/>
                <w:color w:val="FFFFFF"/>
                <w:sz w:val="18"/>
                <w:szCs w:val="18"/>
              </w:rPr>
              <w:t xml:space="preserve">RMSE (days)</w:t>
            </w:r>
          </w:p>
        </w:tc>
        <w:tc>
          <w:tcPr>
            <w:tcW w:type="dxa" w:w="2080"/>
            <w:shd w:fill="2E5090" w:color="auto" w:val="clear"/>
          </w:tcPr>
          <w:p>
            <w:r>
              <w:rPr>
                <w:b/>
                <w:bCs/>
                <w:color w:val="FFFFFF"/>
                <w:sz w:val="18"/>
                <w:szCs w:val="18"/>
              </w:rPr>
              <w:t xml:space="preserve">R²</w:t>
            </w:r>
          </w:p>
        </w:tc>
      </w:tr>
      <w:tr>
        <w:tc>
          <w:tcPr>
            <w:tcW w:type="dxa" w:w="3120"/>
          </w:tcPr>
          <w:p>
            <w:r>
              <w:rPr>
                <w:sz w:val="18"/>
                <w:szCs w:val="18"/>
              </w:rPr>
              <w:t xml:space="preserve">Linear Regression</w:t>
            </w:r>
          </w:p>
        </w:tc>
        <w:tc>
          <w:tcPr>
            <w:tcW w:type="dxa" w:w="2080"/>
          </w:tcPr>
          <w:p>
            <w:r>
              <w:rPr>
                <w:sz w:val="18"/>
                <w:szCs w:val="18"/>
              </w:rPr>
              <w:t xml:space="preserve">5.293</w:t>
            </w:r>
          </w:p>
        </w:tc>
        <w:tc>
          <w:tcPr>
            <w:tcW w:type="dxa" w:w="2080"/>
          </w:tcPr>
          <w:p>
            <w:r>
              <w:rPr>
                <w:sz w:val="18"/>
                <w:szCs w:val="18"/>
              </w:rPr>
              <w:t xml:space="preserve">8.171</w:t>
            </w:r>
          </w:p>
        </w:tc>
        <w:tc>
          <w:tcPr>
            <w:tcW w:type="dxa" w:w="2080"/>
          </w:tcPr>
          <w:p>
            <w:r>
              <w:rPr>
                <w:sz w:val="18"/>
                <w:szCs w:val="18"/>
              </w:rPr>
              <w:t xml:space="preserve">0.231</w:t>
            </w:r>
          </w:p>
        </w:tc>
      </w:tr>
      <w:tr>
        <w:tc>
          <w:tcPr>
            <w:tcW w:type="dxa" w:w="3120"/>
            <w:shd w:fill="F2F2F2" w:color="auto" w:val="clear"/>
          </w:tcPr>
          <w:p>
            <w:r>
              <w:rPr>
                <w:sz w:val="18"/>
                <w:szCs w:val="18"/>
              </w:rPr>
              <w:t xml:space="preserve">Ridge Regression</w:t>
            </w:r>
          </w:p>
        </w:tc>
        <w:tc>
          <w:tcPr>
            <w:tcW w:type="dxa" w:w="2080"/>
            <w:shd w:fill="F2F2F2" w:color="auto" w:val="clear"/>
          </w:tcPr>
          <w:p>
            <w:r>
              <w:rPr>
                <w:sz w:val="18"/>
                <w:szCs w:val="18"/>
              </w:rPr>
              <w:t xml:space="preserve">5.293</w:t>
            </w:r>
          </w:p>
        </w:tc>
        <w:tc>
          <w:tcPr>
            <w:tcW w:type="dxa" w:w="2080"/>
            <w:shd w:fill="F2F2F2" w:color="auto" w:val="clear"/>
          </w:tcPr>
          <w:p>
            <w:r>
              <w:rPr>
                <w:sz w:val="18"/>
                <w:szCs w:val="18"/>
              </w:rPr>
              <w:t xml:space="preserve">8.170</w:t>
            </w:r>
          </w:p>
        </w:tc>
        <w:tc>
          <w:tcPr>
            <w:tcW w:type="dxa" w:w="2080"/>
            <w:shd w:fill="F2F2F2" w:color="auto" w:val="clear"/>
          </w:tcPr>
          <w:p>
            <w:r>
              <w:rPr>
                <w:sz w:val="18"/>
                <w:szCs w:val="18"/>
              </w:rPr>
              <w:t xml:space="preserve">0.231</w:t>
            </w:r>
          </w:p>
        </w:tc>
      </w:tr>
      <w:tr>
        <w:tc>
          <w:tcPr>
            <w:tcW w:type="dxa" w:w="3120"/>
          </w:tcPr>
          <w:p>
            <w:r>
              <w:rPr>
                <w:sz w:val="18"/>
                <w:szCs w:val="18"/>
              </w:rPr>
              <w:t xml:space="preserve">Lasso Regression</w:t>
            </w:r>
          </w:p>
        </w:tc>
        <w:tc>
          <w:tcPr>
            <w:tcW w:type="dxa" w:w="2080"/>
          </w:tcPr>
          <w:p>
            <w:r>
              <w:rPr>
                <w:sz w:val="18"/>
                <w:szCs w:val="18"/>
              </w:rPr>
              <w:t xml:space="preserve">5.414</w:t>
            </w:r>
          </w:p>
        </w:tc>
        <w:tc>
          <w:tcPr>
            <w:tcW w:type="dxa" w:w="2080"/>
          </w:tcPr>
          <w:p>
            <w:r>
              <w:rPr>
                <w:sz w:val="18"/>
                <w:szCs w:val="18"/>
              </w:rPr>
              <w:t xml:space="preserve">8.335</w:t>
            </w:r>
          </w:p>
        </w:tc>
        <w:tc>
          <w:tcPr>
            <w:tcW w:type="dxa" w:w="2080"/>
          </w:tcPr>
          <w:p>
            <w:r>
              <w:rPr>
                <w:sz w:val="18"/>
                <w:szCs w:val="18"/>
              </w:rPr>
              <w:t xml:space="preserve">0.199</w:t>
            </w:r>
          </w:p>
        </w:tc>
      </w:tr>
      <w:tr>
        <w:tc>
          <w:tcPr>
            <w:tcW w:type="dxa" w:w="3120"/>
            <w:shd w:fill="F2F2F2" w:color="auto" w:val="clear"/>
          </w:tcPr>
          <w:p>
            <w:r>
              <w:rPr>
                <w:sz w:val="18"/>
                <w:szCs w:val="18"/>
              </w:rPr>
              <w:t xml:space="preserve">Random Forest Regressor</w:t>
            </w:r>
          </w:p>
        </w:tc>
        <w:tc>
          <w:tcPr>
            <w:tcW w:type="dxa" w:w="2080"/>
            <w:shd w:fill="F2F2F2" w:color="auto" w:val="clear"/>
          </w:tcPr>
          <w:p>
            <w:r>
              <w:rPr>
                <w:sz w:val="18"/>
                <w:szCs w:val="18"/>
              </w:rPr>
              <w:t xml:space="preserve">5.000</w:t>
            </w:r>
          </w:p>
        </w:tc>
        <w:tc>
          <w:tcPr>
            <w:tcW w:type="dxa" w:w="2080"/>
            <w:shd w:fill="F2F2F2" w:color="auto" w:val="clear"/>
          </w:tcPr>
          <w:p>
            <w:r>
              <w:rPr>
                <w:sz w:val="18"/>
                <w:szCs w:val="18"/>
              </w:rPr>
              <w:t xml:space="preserve">7.933</w:t>
            </w:r>
          </w:p>
        </w:tc>
        <w:tc>
          <w:tcPr>
            <w:tcW w:type="dxa" w:w="2080"/>
            <w:shd w:fill="F2F2F2" w:color="auto" w:val="clear"/>
          </w:tcPr>
          <w:p>
            <w:r>
              <w:rPr>
                <w:sz w:val="18"/>
                <w:szCs w:val="18"/>
              </w:rPr>
              <w:t xml:space="preserve">0.275</w:t>
            </w:r>
          </w:p>
        </w:tc>
      </w:tr>
    </w:tbl>
    <w:p>
      <w:pPr>
        <w:spacing w:after="160"/>
      </w:pPr>
      <w:r>
        <w:rPr>
          <w:b w:val="false"/>
          <w:bCs w:val="false"/>
          <w:i w:val="false"/>
          <w:iCs w:val="false"/>
        </w:rPr>
        <w:t xml:space="preserve"/>
      </w:r>
    </w:p>
    <w:p>
      <w:pPr>
        <w:spacing w:after="160"/>
      </w:pPr>
      <w:r>
        <w:rPr>
          <w:b w:val="false"/>
          <w:bCs w:val="false"/>
          <w:i w:val="false"/>
          <w:iCs w:val="false"/>
        </w:rPr>
        <w:t xml:space="preserve">Random Forest wins on every metric. The moderate R² (~0.27-0.28 across both the manual and cross-validated pipelines) reflects a genuine ceiling: much of delivery time variance comes from real-world logistics randomness (carrier delays, warehouse backlogs) that isn't captured in the available features.</w:t>
      </w:r>
    </w:p>
    <w:p>
      <w:pPr>
        <w:pStyle w:val="Heading2"/>
        <w:spacing w:after="120" w:before="240"/>
      </w:pPr>
      <w:r>
        <w:t xml:space="preserve">3.2 Classification Results (predicting is_late)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5"/>
        <w:gridCol w:w="1424"/>
        <w:gridCol w:w="1424"/>
        <w:gridCol w:w="1220"/>
        <w:gridCol w:w="1220"/>
        <w:gridCol w:w="1424"/>
      </w:tblGrid>
      <w:tr>
        <w:trPr>
          <w:tblHeader/>
        </w:trPr>
        <w:tc>
          <w:tcPr>
            <w:tcW w:type="dxa" w:w="2645"/>
            <w:shd w:fill="2E5090" w:color="auto" w:val="clear"/>
          </w:tcPr>
          <w:p>
            <w:r>
              <w:rPr>
                <w:b/>
                <w:bCs/>
                <w:color w:val="FFFFFF"/>
                <w:sz w:val="18"/>
                <w:szCs w:val="18"/>
              </w:rPr>
              <w:t xml:space="preserve">Model</w:t>
            </w:r>
          </w:p>
        </w:tc>
        <w:tc>
          <w:tcPr>
            <w:tcW w:type="dxa" w:w="1424"/>
            <w:shd w:fill="2E5090" w:color="auto" w:val="clear"/>
          </w:tcPr>
          <w:p>
            <w:r>
              <w:rPr>
                <w:b/>
                <w:bCs/>
                <w:color w:val="FFFFFF"/>
                <w:sz w:val="18"/>
                <w:szCs w:val="18"/>
              </w:rPr>
              <w:t xml:space="preserve">Accuracy</w:t>
            </w:r>
          </w:p>
        </w:tc>
        <w:tc>
          <w:tcPr>
            <w:tcW w:type="dxa" w:w="1424"/>
            <w:shd w:fill="2E5090" w:color="auto" w:val="clear"/>
          </w:tcPr>
          <w:p>
            <w:r>
              <w:rPr>
                <w:b/>
                <w:bCs/>
                <w:color w:val="FFFFFF"/>
                <w:sz w:val="18"/>
                <w:szCs w:val="18"/>
              </w:rPr>
              <w:t xml:space="preserve">Precision</w:t>
            </w:r>
          </w:p>
        </w:tc>
        <w:tc>
          <w:tcPr>
            <w:tcW w:type="dxa" w:w="1220"/>
            <w:shd w:fill="2E5090" w:color="auto" w:val="clear"/>
          </w:tcPr>
          <w:p>
            <w:r>
              <w:rPr>
                <w:b/>
                <w:bCs/>
                <w:color w:val="FFFFFF"/>
                <w:sz w:val="18"/>
                <w:szCs w:val="18"/>
              </w:rPr>
              <w:t xml:space="preserve">Recall</w:t>
            </w:r>
          </w:p>
        </w:tc>
        <w:tc>
          <w:tcPr>
            <w:tcW w:type="dxa" w:w="1220"/>
            <w:shd w:fill="2E5090" w:color="auto" w:val="clear"/>
          </w:tcPr>
          <w:p>
            <w:r>
              <w:rPr>
                <w:b/>
                <w:bCs/>
                <w:color w:val="FFFFFF"/>
                <w:sz w:val="18"/>
                <w:szCs w:val="18"/>
              </w:rPr>
              <w:t xml:space="preserve">F1</w:t>
            </w:r>
          </w:p>
        </w:tc>
        <w:tc>
          <w:tcPr>
            <w:tcW w:type="dxa" w:w="1424"/>
            <w:shd w:fill="2E5090" w:color="auto" w:val="clear"/>
          </w:tcPr>
          <w:p>
            <w:r>
              <w:rPr>
                <w:b/>
                <w:bCs/>
                <w:color w:val="FFFFFF"/>
                <w:sz w:val="18"/>
                <w:szCs w:val="18"/>
              </w:rPr>
              <w:t xml:space="preserve">ROC-AUC</w:t>
            </w:r>
          </w:p>
        </w:tc>
      </w:tr>
      <w:tr>
        <w:tc>
          <w:tcPr>
            <w:tcW w:type="dxa" w:w="2645"/>
          </w:tcPr>
          <w:p>
            <w:r>
              <w:rPr>
                <w:sz w:val="18"/>
                <w:szCs w:val="18"/>
              </w:rPr>
              <w:t xml:space="preserve">Logistic Regression</w:t>
            </w:r>
          </w:p>
        </w:tc>
        <w:tc>
          <w:tcPr>
            <w:tcW w:type="dxa" w:w="1424"/>
          </w:tcPr>
          <w:p>
            <w:r>
              <w:rPr>
                <w:sz w:val="18"/>
                <w:szCs w:val="18"/>
              </w:rPr>
              <w:t xml:space="preserve">0.631</w:t>
            </w:r>
          </w:p>
        </w:tc>
        <w:tc>
          <w:tcPr>
            <w:tcW w:type="dxa" w:w="1424"/>
          </w:tcPr>
          <w:p>
            <w:r>
              <w:rPr>
                <w:sz w:val="18"/>
                <w:szCs w:val="18"/>
              </w:rPr>
              <w:t xml:space="preserve">0.131</w:t>
            </w:r>
          </w:p>
        </w:tc>
        <w:tc>
          <w:tcPr>
            <w:tcW w:type="dxa" w:w="1220"/>
          </w:tcPr>
          <w:p>
            <w:r>
              <w:rPr>
                <w:sz w:val="18"/>
                <w:szCs w:val="18"/>
              </w:rPr>
              <w:t xml:space="preserve">0.646</w:t>
            </w:r>
          </w:p>
        </w:tc>
        <w:tc>
          <w:tcPr>
            <w:tcW w:type="dxa" w:w="1220"/>
          </w:tcPr>
          <w:p>
            <w:r>
              <w:rPr>
                <w:sz w:val="18"/>
                <w:szCs w:val="18"/>
              </w:rPr>
              <w:t xml:space="preserve">0.217</w:t>
            </w:r>
          </w:p>
        </w:tc>
        <w:tc>
          <w:tcPr>
            <w:tcW w:type="dxa" w:w="1424"/>
          </w:tcPr>
          <w:p>
            <w:r>
              <w:rPr>
                <w:sz w:val="18"/>
                <w:szCs w:val="18"/>
              </w:rPr>
              <w:t xml:space="preserve">0.688</w:t>
            </w:r>
          </w:p>
        </w:tc>
      </w:tr>
      <w:tr>
        <w:tc>
          <w:tcPr>
            <w:tcW w:type="dxa" w:w="2645"/>
            <w:shd w:fill="F2F2F2" w:color="auto" w:val="clear"/>
          </w:tcPr>
          <w:p>
            <w:r>
              <w:rPr>
                <w:sz w:val="18"/>
                <w:szCs w:val="18"/>
              </w:rPr>
              <w:t xml:space="preserve">Decision Tree</w:t>
            </w:r>
          </w:p>
        </w:tc>
        <w:tc>
          <w:tcPr>
            <w:tcW w:type="dxa" w:w="1424"/>
            <w:shd w:fill="F2F2F2" w:color="auto" w:val="clear"/>
          </w:tcPr>
          <w:p>
            <w:r>
              <w:rPr>
                <w:sz w:val="18"/>
                <w:szCs w:val="18"/>
              </w:rPr>
              <w:t xml:space="preserve">0.872</w:t>
            </w:r>
          </w:p>
        </w:tc>
        <w:tc>
          <w:tcPr>
            <w:tcW w:type="dxa" w:w="1424"/>
            <w:shd w:fill="F2F2F2" w:color="auto" w:val="clear"/>
          </w:tcPr>
          <w:p>
            <w:r>
              <w:rPr>
                <w:sz w:val="18"/>
                <w:szCs w:val="18"/>
              </w:rPr>
              <w:t xml:space="preserve">0.201</w:t>
            </w:r>
          </w:p>
        </w:tc>
        <w:tc>
          <w:tcPr>
            <w:tcW w:type="dxa" w:w="1220"/>
            <w:shd w:fill="F2F2F2" w:color="auto" w:val="clear"/>
          </w:tcPr>
          <w:p>
            <w:r>
              <w:rPr>
                <w:sz w:val="18"/>
                <w:szCs w:val="18"/>
              </w:rPr>
              <w:t xml:space="preserve">0.206</w:t>
            </w:r>
          </w:p>
        </w:tc>
        <w:tc>
          <w:tcPr>
            <w:tcW w:type="dxa" w:w="1220"/>
            <w:shd w:fill="F2F2F2" w:color="auto" w:val="clear"/>
          </w:tcPr>
          <w:p>
            <w:r>
              <w:rPr>
                <w:sz w:val="18"/>
                <w:szCs w:val="18"/>
              </w:rPr>
              <w:t xml:space="preserve">0.203</w:t>
            </w:r>
          </w:p>
        </w:tc>
        <w:tc>
          <w:tcPr>
            <w:tcW w:type="dxa" w:w="1424"/>
            <w:shd w:fill="F2F2F2" w:color="auto" w:val="clear"/>
          </w:tcPr>
          <w:p>
            <w:r>
              <w:rPr>
                <w:sz w:val="18"/>
                <w:szCs w:val="18"/>
              </w:rPr>
              <w:t xml:space="preserve">0.568</w:t>
            </w:r>
          </w:p>
        </w:tc>
      </w:tr>
      <w:tr>
        <w:tc>
          <w:tcPr>
            <w:tcW w:type="dxa" w:w="2645"/>
          </w:tcPr>
          <w:p>
            <w:r>
              <w:rPr>
                <w:sz w:val="18"/>
                <w:szCs w:val="18"/>
              </w:rPr>
              <w:t xml:space="preserve">Random Forest</w:t>
            </w:r>
          </w:p>
        </w:tc>
        <w:tc>
          <w:tcPr>
            <w:tcW w:type="dxa" w:w="1424"/>
          </w:tcPr>
          <w:p>
            <w:r>
              <w:rPr>
                <w:sz w:val="18"/>
                <w:szCs w:val="18"/>
              </w:rPr>
              <w:t xml:space="preserve">0.920</w:t>
            </w:r>
          </w:p>
        </w:tc>
        <w:tc>
          <w:tcPr>
            <w:tcW w:type="dxa" w:w="1424"/>
          </w:tcPr>
          <w:p>
            <w:r>
              <w:rPr>
                <w:sz w:val="18"/>
                <w:szCs w:val="18"/>
              </w:rPr>
              <w:t xml:space="preserve">0.472</w:t>
            </w:r>
          </w:p>
        </w:tc>
        <w:tc>
          <w:tcPr>
            <w:tcW w:type="dxa" w:w="1220"/>
          </w:tcPr>
          <w:p>
            <w:r>
              <w:rPr>
                <w:sz w:val="18"/>
                <w:szCs w:val="18"/>
              </w:rPr>
              <w:t xml:space="preserve">0.060</w:t>
            </w:r>
          </w:p>
        </w:tc>
        <w:tc>
          <w:tcPr>
            <w:tcW w:type="dxa" w:w="1220"/>
          </w:tcPr>
          <w:p>
            <w:r>
              <w:rPr>
                <w:sz w:val="18"/>
                <w:szCs w:val="18"/>
              </w:rPr>
              <w:t xml:space="preserve">0.107</w:t>
            </w:r>
          </w:p>
        </w:tc>
        <w:tc>
          <w:tcPr>
            <w:tcW w:type="dxa" w:w="1424"/>
          </w:tcPr>
          <w:p>
            <w:r>
              <w:rPr>
                <w:sz w:val="18"/>
                <w:szCs w:val="18"/>
              </w:rPr>
              <w:t xml:space="preserve">0.753</w:t>
            </w:r>
          </w:p>
        </w:tc>
      </w:tr>
      <w:tr>
        <w:tc>
          <w:tcPr>
            <w:tcW w:type="dxa" w:w="2645"/>
            <w:shd w:fill="F2F2F2" w:color="auto" w:val="clear"/>
          </w:tcPr>
          <w:p>
            <w:r>
              <w:rPr>
                <w:sz w:val="18"/>
                <w:szCs w:val="18"/>
              </w:rPr>
              <w:t xml:space="preserve">KNN</w:t>
            </w:r>
          </w:p>
        </w:tc>
        <w:tc>
          <w:tcPr>
            <w:tcW w:type="dxa" w:w="1424"/>
            <w:shd w:fill="F2F2F2" w:color="auto" w:val="clear"/>
          </w:tcPr>
          <w:p>
            <w:r>
              <w:rPr>
                <w:sz w:val="18"/>
                <w:szCs w:val="18"/>
              </w:rPr>
              <w:t xml:space="preserve">0.914</w:t>
            </w:r>
          </w:p>
        </w:tc>
        <w:tc>
          <w:tcPr>
            <w:tcW w:type="dxa" w:w="1424"/>
            <w:shd w:fill="F2F2F2" w:color="auto" w:val="clear"/>
          </w:tcPr>
          <w:p>
            <w:r>
              <w:rPr>
                <w:sz w:val="18"/>
                <w:szCs w:val="18"/>
              </w:rPr>
              <w:t xml:space="preserve">0.344</w:t>
            </w:r>
          </w:p>
        </w:tc>
        <w:tc>
          <w:tcPr>
            <w:tcW w:type="dxa" w:w="1220"/>
            <w:shd w:fill="F2F2F2" w:color="auto" w:val="clear"/>
          </w:tcPr>
          <w:p>
            <w:r>
              <w:rPr>
                <w:sz w:val="18"/>
                <w:szCs w:val="18"/>
              </w:rPr>
              <w:t xml:space="preserve">0.085</w:t>
            </w:r>
          </w:p>
        </w:tc>
        <w:tc>
          <w:tcPr>
            <w:tcW w:type="dxa" w:w="1220"/>
            <w:shd w:fill="F2F2F2" w:color="auto" w:val="clear"/>
          </w:tcPr>
          <w:p>
            <w:r>
              <w:rPr>
                <w:sz w:val="18"/>
                <w:szCs w:val="18"/>
              </w:rPr>
              <w:t xml:space="preserve">0.136</w:t>
            </w:r>
          </w:p>
        </w:tc>
        <w:tc>
          <w:tcPr>
            <w:tcW w:type="dxa" w:w="1424"/>
            <w:shd w:fill="F2F2F2" w:color="auto" w:val="clear"/>
          </w:tcPr>
          <w:p>
            <w:r>
              <w:rPr>
                <w:sz w:val="18"/>
                <w:szCs w:val="18"/>
              </w:rPr>
              <w:t xml:space="preserve">0.651</w:t>
            </w:r>
          </w:p>
        </w:tc>
      </w:tr>
    </w:tbl>
    <w:p>
      <w:pPr>
        <w:spacing w:after="160"/>
      </w:pPr>
      <w:r>
        <w:rPr>
          <w:b w:val="false"/>
          <w:bCs w:val="false"/>
          <w:i w:val="false"/>
          <w:iCs w:val="false"/>
        </w:rPr>
        <w:t xml:space="preserve"/>
      </w:r>
    </w:p>
    <w:p>
      <w:pPr>
        <w:spacing w:after="160"/>
      </w:pPr>
      <w:r>
        <w:rPr>
          <w:b w:val="false"/>
          <w:bCs w:val="false"/>
          <w:i w:val="false"/>
          <w:iCs w:val="false"/>
        </w:rPr>
        <w:t xml:space="preserve">This is the report's clearest lesson in imbalanced-classification evaluation: Random Forest posts the best accuracy and ROC-AUC, but its recall (0.060) means it catches almost no actual late orders — it plays it safe by rarely predicting "late" at all. Logistic Regression trades accuracy for recall (0.646), catching far more true late orders at the cost of more false alarms. Which model is "better" depends on the business cost of a missed late delivery versus a false alarm.</w:t>
      </w:r>
    </w:p>
    <w:p>
      <w:pPr>
        <w:spacing w:after="160"/>
      </w:pPr>
      <w:r>
        <w:rPr>
          <w:b w:val="false"/>
          <w:bCs w:val="false"/>
          <w:i w:val="false"/>
          <w:iCs w:val="false"/>
        </w:rPr>
        <w:t xml:space="preserve">A regularized version of Random Forest (max_depth=10), tested later in the cross-validated pipeline (Section 6), substantially closes this gap — recall rises to 0.533 while accuracy and ROC-AUC remain the best in class (Accuracy 0.790, ROC-AUC 0.744) — showing that limiting tree depth meaningfully reduces the model's bias toward the majority class.</w:t>
      </w:r>
    </w:p>
    <w:p>
      <w:pPr>
        <w:pStyle w:val="Heading1"/>
        <w:spacing w:after="120" w:before="240"/>
      </w:pPr>
      <w:r>
        <w:t xml:space="preserve">4. Module 2 — Customer Segmentation (Clustering)</w:t>
      </w:r>
    </w:p>
    <w:p>
      <w:pPr>
        <w:spacing w:after="160"/>
      </w:pPr>
      <w:r>
        <w:rPr>
          <w:b w:val="false"/>
          <w:bCs w:val="false"/>
          <w:i w:val="false"/>
          <w:iCs w:val="false"/>
        </w:rPr>
        <w:t xml:space="preserve">Customers (identified by customer_unique_id, not the per-order customer_id) were segmented using Recency, Frequency, Monetary value, average review score, and average delivery time. Note: about 97% of customers in this dataset placed only one order, so segments separate mainly on spending, timing, and experience quality rather than repeat-purchase frequency.</w:t>
      </w:r>
    </w:p>
    <w:p>
      <w:pPr>
        <w:pStyle w:val="Heading2"/>
        <w:spacing w:after="120" w:before="240"/>
      </w:pPr>
      <w:r>
        <w:t xml:space="preserve">4.1 KMeans (k=4, chosen at the elbow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8"/>
        <w:gridCol w:w="1337"/>
        <w:gridCol w:w="1114"/>
        <w:gridCol w:w="1560"/>
        <w:gridCol w:w="3120"/>
      </w:tblGrid>
      <w:tr>
        <w:trPr>
          <w:tblHeader/>
        </w:trPr>
        <w:tc>
          <w:tcPr>
            <w:tcW w:type="dxa" w:w="2228"/>
            <w:shd w:fill="2E5090" w:color="auto" w:val="clear"/>
          </w:tcPr>
          <w:p>
            <w:r>
              <w:rPr>
                <w:b/>
                <w:bCs/>
                <w:color w:val="FFFFFF"/>
                <w:sz w:val="18"/>
                <w:szCs w:val="18"/>
              </w:rPr>
              <w:t xml:space="preserve">Segment</w:t>
            </w:r>
          </w:p>
        </w:tc>
        <w:tc>
          <w:tcPr>
            <w:tcW w:type="dxa" w:w="1337"/>
            <w:shd w:fill="2E5090" w:color="auto" w:val="clear"/>
          </w:tcPr>
          <w:p>
            <w:r>
              <w:rPr>
                <w:b/>
                <w:bCs/>
                <w:color w:val="FFFFFF"/>
                <w:sz w:val="18"/>
                <w:szCs w:val="18"/>
              </w:rPr>
              <w:t xml:space="preserve">Size</w:t>
            </w:r>
          </w:p>
        </w:tc>
        <w:tc>
          <w:tcPr>
            <w:tcW w:type="dxa" w:w="1114"/>
            <w:shd w:fill="2E5090" w:color="auto" w:val="clear"/>
          </w:tcPr>
          <w:p>
            <w:r>
              <w:rPr>
                <w:b/>
                <w:bCs/>
                <w:color w:val="FFFFFF"/>
                <w:sz w:val="18"/>
                <w:szCs w:val="18"/>
              </w:rPr>
              <w:t xml:space="preserve">Avg Review</w:t>
            </w:r>
          </w:p>
        </w:tc>
        <w:tc>
          <w:tcPr>
            <w:tcW w:type="dxa" w:w="1560"/>
            <w:shd w:fill="2E5090" w:color="auto" w:val="clear"/>
          </w:tcPr>
          <w:p>
            <w:r>
              <w:rPr>
                <w:b/>
                <w:bCs/>
                <w:color w:val="FFFFFF"/>
                <w:sz w:val="18"/>
                <w:szCs w:val="18"/>
              </w:rPr>
              <w:t xml:space="preserve">Avg Delivery (days)</w:t>
            </w:r>
          </w:p>
        </w:tc>
        <w:tc>
          <w:tcPr>
            <w:tcW w:type="dxa" w:w="3120"/>
            <w:shd w:fill="2E5090" w:color="auto" w:val="clear"/>
          </w:tcPr>
          <w:p>
            <w:r>
              <w:rPr>
                <w:b/>
                <w:bCs/>
                <w:color w:val="FFFFFF"/>
                <w:sz w:val="18"/>
                <w:szCs w:val="18"/>
              </w:rPr>
              <w:t xml:space="preserve">Interpretation</w:t>
            </w:r>
          </w:p>
        </w:tc>
      </w:tr>
      <w:tr>
        <w:tc>
          <w:tcPr>
            <w:tcW w:type="dxa" w:w="2228"/>
          </w:tcPr>
          <w:p>
            <w:r>
              <w:rPr>
                <w:sz w:val="18"/>
                <w:szCs w:val="18"/>
              </w:rPr>
              <w:t xml:space="preserve">Loyal Repeat Customers</w:t>
            </w:r>
          </w:p>
        </w:tc>
        <w:tc>
          <w:tcPr>
            <w:tcW w:type="dxa" w:w="1337"/>
          </w:tcPr>
          <w:p>
            <w:r>
              <w:rPr>
                <w:sz w:val="18"/>
                <w:szCs w:val="18"/>
              </w:rPr>
              <w:t xml:space="preserve">2,801 (3%)</w:t>
            </w:r>
          </w:p>
        </w:tc>
        <w:tc>
          <w:tcPr>
            <w:tcW w:type="dxa" w:w="1114"/>
          </w:tcPr>
          <w:p>
            <w:r>
              <w:rPr>
                <w:sz w:val="18"/>
                <w:szCs w:val="18"/>
              </w:rPr>
              <w:t xml:space="preserve">4.2</w:t>
            </w:r>
          </w:p>
        </w:tc>
        <w:tc>
          <w:tcPr>
            <w:tcW w:type="dxa" w:w="1560"/>
          </w:tcPr>
          <w:p>
            <w:r>
              <w:rPr>
                <w:sz w:val="18"/>
                <w:szCs w:val="18"/>
              </w:rPr>
              <w:t xml:space="preserve">11.9</w:t>
            </w:r>
          </w:p>
        </w:tc>
        <w:tc>
          <w:tcPr>
            <w:tcW w:type="dxa" w:w="3120"/>
          </w:tcPr>
          <w:p>
            <w:r>
              <w:rPr>
                <w:sz w:val="18"/>
                <w:szCs w:val="18"/>
              </w:rPr>
              <w:t xml:space="preserve">Only real repeat-buyer segment; highest spend</w:t>
            </w:r>
          </w:p>
        </w:tc>
      </w:tr>
      <w:tr>
        <w:tc>
          <w:tcPr>
            <w:tcW w:type="dxa" w:w="2228"/>
            <w:shd w:fill="F2F2F2" w:color="auto" w:val="clear"/>
          </w:tcPr>
          <w:p>
            <w:r>
              <w:rPr>
                <w:sz w:val="18"/>
                <w:szCs w:val="18"/>
              </w:rPr>
              <w:t xml:space="preserve">At-Risk / Dissatisfied</w:t>
            </w:r>
          </w:p>
        </w:tc>
        <w:tc>
          <w:tcPr>
            <w:tcW w:type="dxa" w:w="1337"/>
            <w:shd w:fill="F2F2F2" w:color="auto" w:val="clear"/>
          </w:tcPr>
          <w:p>
            <w:r>
              <w:rPr>
                <w:sz w:val="18"/>
                <w:szCs w:val="18"/>
              </w:rPr>
              <w:t xml:space="preserve">14,353 (15%)</w:t>
            </w:r>
          </w:p>
        </w:tc>
        <w:tc>
          <w:tcPr>
            <w:tcW w:type="dxa" w:w="1114"/>
            <w:shd w:fill="F2F2F2" w:color="auto" w:val="clear"/>
          </w:tcPr>
          <w:p>
            <w:r>
              <w:rPr>
                <w:sz w:val="18"/>
                <w:szCs w:val="18"/>
              </w:rPr>
              <w:t xml:space="preserve">1.7</w:t>
            </w:r>
          </w:p>
        </w:tc>
        <w:tc>
          <w:tcPr>
            <w:tcW w:type="dxa" w:w="1560"/>
            <w:shd w:fill="F2F2F2" w:color="auto" w:val="clear"/>
          </w:tcPr>
          <w:p>
            <w:r>
              <w:rPr>
                <w:sz w:val="18"/>
                <w:szCs w:val="18"/>
              </w:rPr>
              <w:t xml:space="preserve">21.9</w:t>
            </w:r>
          </w:p>
        </w:tc>
        <w:tc>
          <w:tcPr>
            <w:tcW w:type="dxa" w:w="3120"/>
            <w:shd w:fill="F2F2F2" w:color="auto" w:val="clear"/>
          </w:tcPr>
          <w:p>
            <w:r>
              <w:rPr>
                <w:sz w:val="18"/>
                <w:szCs w:val="18"/>
              </w:rPr>
              <w:t xml:space="preserve">Slow delivery, low ratings — service recovery target</w:t>
            </w:r>
          </w:p>
        </w:tc>
      </w:tr>
      <w:tr>
        <w:tc>
          <w:tcPr>
            <w:tcW w:type="dxa" w:w="2228"/>
          </w:tcPr>
          <w:p>
            <w:r>
              <w:rPr>
                <w:sz w:val="18"/>
                <w:szCs w:val="18"/>
              </w:rPr>
              <w:t xml:space="preserve">Recent Happy Customers</w:t>
            </w:r>
          </w:p>
        </w:tc>
        <w:tc>
          <w:tcPr>
            <w:tcW w:type="dxa" w:w="1337"/>
          </w:tcPr>
          <w:p>
            <w:r>
              <w:rPr>
                <w:sz w:val="18"/>
                <w:szCs w:val="18"/>
              </w:rPr>
              <w:t xml:space="preserve">42,952 (46%)</w:t>
            </w:r>
          </w:p>
        </w:tc>
        <w:tc>
          <w:tcPr>
            <w:tcW w:type="dxa" w:w="1114"/>
          </w:tcPr>
          <w:p>
            <w:r>
              <w:rPr>
                <w:sz w:val="18"/>
                <w:szCs w:val="18"/>
              </w:rPr>
              <w:t xml:space="preserve">4.6</w:t>
            </w:r>
          </w:p>
        </w:tc>
        <w:tc>
          <w:tcPr>
            <w:tcW w:type="dxa" w:w="1560"/>
          </w:tcPr>
          <w:p>
            <w:r>
              <w:rPr>
                <w:sz w:val="18"/>
                <w:szCs w:val="18"/>
              </w:rPr>
              <w:t xml:space="preserve">9.5</w:t>
            </w:r>
          </w:p>
        </w:tc>
        <w:tc>
          <w:tcPr>
            <w:tcW w:type="dxa" w:w="3120"/>
          </w:tcPr>
          <w:p>
            <w:r>
              <w:rPr>
                <w:sz w:val="18"/>
                <w:szCs w:val="18"/>
              </w:rPr>
              <w:t xml:space="preserve">Fast delivery, high satisfaction, most recent</w:t>
            </w:r>
          </w:p>
        </w:tc>
      </w:tr>
      <w:tr>
        <w:tc>
          <w:tcPr>
            <w:tcW w:type="dxa" w:w="2228"/>
            <w:shd w:fill="F2F2F2" w:color="auto" w:val="clear"/>
          </w:tcPr>
          <w:p>
            <w:r>
              <w:rPr>
                <w:sz w:val="18"/>
                <w:szCs w:val="18"/>
              </w:rPr>
              <w:t xml:space="preserve">Lapsed Happy Customers</w:t>
            </w:r>
          </w:p>
        </w:tc>
        <w:tc>
          <w:tcPr>
            <w:tcW w:type="dxa" w:w="1337"/>
            <w:shd w:fill="F2F2F2" w:color="auto" w:val="clear"/>
          </w:tcPr>
          <w:p>
            <w:r>
              <w:rPr>
                <w:sz w:val="18"/>
                <w:szCs w:val="18"/>
              </w:rPr>
              <w:t xml:space="preserve">33,244 (36%)</w:t>
            </w:r>
          </w:p>
        </w:tc>
        <w:tc>
          <w:tcPr>
            <w:tcW w:type="dxa" w:w="1114"/>
            <w:shd w:fill="F2F2F2" w:color="auto" w:val="clear"/>
          </w:tcPr>
          <w:p>
            <w:r>
              <w:rPr>
                <w:sz w:val="18"/>
                <w:szCs w:val="18"/>
              </w:rPr>
              <w:t xml:space="preserve">4.6</w:t>
            </w:r>
          </w:p>
        </w:tc>
        <w:tc>
          <w:tcPr>
            <w:tcW w:type="dxa" w:w="1560"/>
            <w:shd w:fill="F2F2F2" w:color="auto" w:val="clear"/>
          </w:tcPr>
          <w:p>
            <w:r>
              <w:rPr>
                <w:sz w:val="18"/>
                <w:szCs w:val="18"/>
              </w:rPr>
              <w:t xml:space="preserve">11.3</w:t>
            </w:r>
          </w:p>
        </w:tc>
        <w:tc>
          <w:tcPr>
            <w:tcW w:type="dxa" w:w="3120"/>
            <w:shd w:fill="F2F2F2" w:color="auto" w:val="clear"/>
          </w:tcPr>
          <w:p>
            <w:r>
              <w:rPr>
                <w:sz w:val="18"/>
                <w:szCs w:val="18"/>
              </w:rPr>
              <w:t xml:space="preserve">Good past experience, haven't ordered recently</w:t>
            </w:r>
          </w:p>
        </w:tc>
      </w:tr>
    </w:tbl>
    <w:p>
      <w:pPr>
        <w:spacing w:after="160"/>
      </w:pPr>
      <w:r>
        <w:rPr>
          <w:b w:val="false"/>
          <w:bCs w:val="false"/>
          <w:i w:val="false"/>
          <w:iCs w:val="false"/>
        </w:rPr>
        <w:t xml:space="preserve"/>
      </w:r>
    </w:p>
    <w:p>
      <w:pPr>
        <w:spacing w:after="160"/>
      </w:pPr>
      <w:r>
        <w:rPr>
          <w:b w:val="false"/>
          <w:bCs w:val="false"/>
          <w:i w:val="false"/>
          <w:iCs w:val="false"/>
        </w:rPr>
        <w:t xml:space="preserve">Silhouette score for k=4 was 0.266. k=2 technically scored higher (0.595) but only separated "ordered once" from "ordered more than once" — a less actionable split for marketing strategy, so k=4 was selected instead.</w:t>
      </w:r>
    </w:p>
    <w:p>
      <w:pPr>
        <w:pStyle w:val="Heading2"/>
        <w:spacing w:after="120" w:before="240"/>
      </w:pPr>
      <w:r>
        <w:t xml:space="preserve">4.2 DBSCAN</w:t>
      </w:r>
    </w:p>
    <w:p>
      <w:pPr>
        <w:spacing w:after="160"/>
      </w:pPr>
      <w:r>
        <w:rPr>
          <w:b w:val="false"/>
          <w:bCs w:val="false"/>
          <w:i w:val="false"/>
          <w:iCs w:val="false"/>
        </w:rPr>
        <w:t xml:space="preserve">DBSCAN (eps=0.7, min_samples=5) found one dominant cluster (90,252 customers, 94%) plus several tiny clusters and 452 noise points (0.5%). The noise points are the most interesting output: they average R$644 spent, 52.6-day deliveries, and a 3.1 review score — high-value customers with a poor delivery experience, exactly the kind of case worth flagging for manual account review rather than forcing into a "typical" segment.</w:t>
      </w:r>
    </w:p>
    <w:p>
      <w:pPr>
        <w:pStyle w:val="Heading1"/>
        <w:spacing w:after="120" w:before="240"/>
      </w:pPr>
      <w:r>
        <w:t xml:space="preserve">5. Module 3 — NLP Review Analysis</w:t>
      </w:r>
    </w:p>
    <w:p>
      <w:pPr>
        <w:spacing w:after="160"/>
      </w:pPr>
      <w:r>
        <w:rPr>
          <w:b w:val="false"/>
          <w:bCs w:val="false"/>
          <w:i w:val="false"/>
          <w:iCs w:val="false"/>
        </w:rPr>
        <w:t xml:space="preserve">Sentiment labels were derived from review_score (4-5 stars = positive, 1-2 = negative; 3-star "neutral" reviews were excluded for a clean binary task). Text was cleaned (lowercased, punctuation removed, Portuguese stopwords removed via NLTK, tokenized) and represented using TF-IDF (3,000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2E5090" w:color="auto" w:val="clear"/>
          </w:tcPr>
          <w:p>
            <w:r>
              <w:rPr>
                <w:b/>
                <w:bCs/>
                <w:color w:val="FFFFFF"/>
                <w:sz w:val="18"/>
                <w:szCs w:val="18"/>
              </w:rPr>
              <w:t xml:space="preserve">Metric</w:t>
            </w:r>
          </w:p>
        </w:tc>
        <w:tc>
          <w:tcPr>
            <w:tcW w:type="dxa" w:w="3120"/>
            <w:shd w:fill="2E5090" w:color="auto" w:val="clear"/>
          </w:tcPr>
          <w:p>
            <w:r>
              <w:rPr>
                <w:b/>
                <w:bCs/>
                <w:color w:val="FFFFFF"/>
                <w:sz w:val="18"/>
                <w:szCs w:val="18"/>
              </w:rPr>
              <w:t xml:space="preserve">Value</w:t>
            </w:r>
          </w:p>
        </w:tc>
      </w:tr>
      <w:tr>
        <w:tc>
          <w:tcPr>
            <w:tcW w:type="dxa" w:w="6240"/>
          </w:tcPr>
          <w:p>
            <w:r>
              <w:rPr>
                <w:sz w:val="18"/>
                <w:szCs w:val="18"/>
              </w:rPr>
              <w:t xml:space="preserve">Accuracy</w:t>
            </w:r>
          </w:p>
        </w:tc>
        <w:tc>
          <w:tcPr>
            <w:tcW w:type="dxa" w:w="3120"/>
          </w:tcPr>
          <w:p>
            <w:r>
              <w:rPr>
                <w:sz w:val="18"/>
                <w:szCs w:val="18"/>
              </w:rPr>
              <w:t xml:space="preserve">0.904</w:t>
            </w:r>
          </w:p>
        </w:tc>
      </w:tr>
      <w:tr>
        <w:tc>
          <w:tcPr>
            <w:tcW w:type="dxa" w:w="6240"/>
            <w:shd w:fill="F2F2F2" w:color="auto" w:val="clear"/>
          </w:tcPr>
          <w:p>
            <w:r>
              <w:rPr>
                <w:sz w:val="18"/>
                <w:szCs w:val="18"/>
              </w:rPr>
              <w:t xml:space="preserve">Precision</w:t>
            </w:r>
          </w:p>
        </w:tc>
        <w:tc>
          <w:tcPr>
            <w:tcW w:type="dxa" w:w="3120"/>
            <w:shd w:fill="F2F2F2" w:color="auto" w:val="clear"/>
          </w:tcPr>
          <w:p>
            <w:r>
              <w:rPr>
                <w:sz w:val="18"/>
                <w:szCs w:val="18"/>
              </w:rPr>
              <w:t xml:space="preserve">0.966</w:t>
            </w:r>
          </w:p>
        </w:tc>
      </w:tr>
      <w:tr>
        <w:tc>
          <w:tcPr>
            <w:tcW w:type="dxa" w:w="6240"/>
          </w:tcPr>
          <w:p>
            <w:r>
              <w:rPr>
                <w:sz w:val="18"/>
                <w:szCs w:val="18"/>
              </w:rPr>
              <w:t xml:space="preserve">Recall</w:t>
            </w:r>
          </w:p>
        </w:tc>
        <w:tc>
          <w:tcPr>
            <w:tcW w:type="dxa" w:w="3120"/>
          </w:tcPr>
          <w:p>
            <w:r>
              <w:rPr>
                <w:sz w:val="18"/>
                <w:szCs w:val="18"/>
              </w:rPr>
              <w:t xml:space="preserve">0.896</w:t>
            </w:r>
          </w:p>
        </w:tc>
      </w:tr>
      <w:tr>
        <w:tc>
          <w:tcPr>
            <w:tcW w:type="dxa" w:w="6240"/>
            <w:shd w:fill="F2F2F2" w:color="auto" w:val="clear"/>
          </w:tcPr>
          <w:p>
            <w:r>
              <w:rPr>
                <w:sz w:val="18"/>
                <w:szCs w:val="18"/>
              </w:rPr>
              <w:t xml:space="preserve">F1 Score</w:t>
            </w:r>
          </w:p>
        </w:tc>
        <w:tc>
          <w:tcPr>
            <w:tcW w:type="dxa" w:w="3120"/>
            <w:shd w:fill="F2F2F2" w:color="auto" w:val="clear"/>
          </w:tcPr>
          <w:p>
            <w:r>
              <w:rPr>
                <w:sz w:val="18"/>
                <w:szCs w:val="18"/>
              </w:rPr>
              <w:t xml:space="preserve">0.929</w:t>
            </w:r>
          </w:p>
        </w:tc>
      </w:tr>
    </w:tbl>
    <w:p>
      <w:pPr>
        <w:spacing w:after="160"/>
      </w:pPr>
      <w:r>
        <w:rPr>
          <w:b w:val="false"/>
          <w:bCs w:val="false"/>
          <w:i w:val="false"/>
          <w:iCs w:val="false"/>
        </w:rPr>
        <w:t xml:space="preserve"/>
      </w:r>
    </w:p>
    <w:p>
      <w:pPr>
        <w:spacing w:after="160"/>
      </w:pPr>
      <w:r>
        <w:rPr>
          <w:b w:val="false"/>
          <w:bCs w:val="false"/>
          <w:i w:val="false"/>
          <w:iCs w:val="false"/>
        </w:rPr>
        <w:t xml:space="preserve">Logistic Regression on TF-IDF features achieved 90.4% accuracy. Top positive keywords (bom, ótimo, recomendo, rápida) reflect praise and fast delivery; top negative keywords (ainda, aguardando, recebi) center on delivery non-arrival rather than product quality — the same delivery-driven pattern seen in Modules 1 and 2. Named Entity Recognition (spaCy, Portuguese model) found at least one entity in 4 of 20 sampled reviews (20%), consistent with the informal, short nature of the text; spam detection was scoped out, as the dataset has no spam label to train or validate against.</w:t>
      </w:r>
    </w:p>
    <w:p>
      <w:pPr>
        <w:pStyle w:val="Heading1"/>
        <w:spacing w:after="120" w:before="240"/>
      </w:pPr>
      <w:r>
        <w:t xml:space="preserve">6. Module 4 — Time Series Sales Forecasting</w:t>
      </w:r>
    </w:p>
    <w:p>
      <w:pPr>
        <w:spacing w:after="160"/>
      </w:pPr>
      <w:r>
        <w:rPr>
          <w:b w:val="false"/>
          <w:bCs w:val="false"/>
          <w:i w:val="false"/>
          <w:iCs w:val="false"/>
        </w:rPr>
        <w:t xml:space="preserve">Monthly sales revenue (Jan 2017 - Aug 2018, 20 months) was tested for stationarity via the Augmented Dickey-Fuller test. The raw series was non-stationary (p=0.177); first-order differencing achieved stationarity (p&lt;0.0001), confirming d=1 for the ARIMA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2E5090" w:color="auto" w:val="clear"/>
          </w:tcPr>
          <w:p>
            <w:r>
              <w:rPr>
                <w:b/>
                <w:bCs/>
                <w:color w:val="FFFFFF"/>
                <w:sz w:val="18"/>
                <w:szCs w:val="18"/>
              </w:rPr>
              <w:t xml:space="preserve">Model</w:t>
            </w:r>
          </w:p>
        </w:tc>
        <w:tc>
          <w:tcPr>
            <w:tcW w:type="dxa" w:w="2340"/>
            <w:shd w:fill="2E5090" w:color="auto" w:val="clear"/>
          </w:tcPr>
          <w:p>
            <w:r>
              <w:rPr>
                <w:b/>
                <w:bCs/>
                <w:color w:val="FFFFFF"/>
                <w:sz w:val="18"/>
                <w:szCs w:val="18"/>
              </w:rPr>
              <w:t xml:space="preserve">MAE (R$)</w:t>
            </w:r>
          </w:p>
        </w:tc>
        <w:tc>
          <w:tcPr>
            <w:tcW w:type="dxa" w:w="2340"/>
            <w:shd w:fill="2E5090" w:color="auto" w:val="clear"/>
          </w:tcPr>
          <w:p>
            <w:r>
              <w:rPr>
                <w:b/>
                <w:bCs/>
                <w:color w:val="FFFFFF"/>
                <w:sz w:val="18"/>
                <w:szCs w:val="18"/>
              </w:rPr>
              <w:t xml:space="preserve">RMSE (R$)</w:t>
            </w:r>
          </w:p>
        </w:tc>
      </w:tr>
      <w:tr>
        <w:tc>
          <w:tcPr>
            <w:tcW w:type="dxa" w:w="4680"/>
          </w:tcPr>
          <w:p>
            <w:r>
              <w:rPr>
                <w:sz w:val="18"/>
                <w:szCs w:val="18"/>
              </w:rPr>
              <w:t xml:space="preserve">ARIMA(1,1,0)</w:t>
            </w:r>
          </w:p>
        </w:tc>
        <w:tc>
          <w:tcPr>
            <w:tcW w:type="dxa" w:w="2340"/>
          </w:tcPr>
          <w:p>
            <w:r>
              <w:rPr>
                <w:sz w:val="18"/>
                <w:szCs w:val="18"/>
              </w:rPr>
              <w:t xml:space="preserve">275,897</w:t>
            </w:r>
          </w:p>
        </w:tc>
        <w:tc>
          <w:tcPr>
            <w:tcW w:type="dxa" w:w="2340"/>
          </w:tcPr>
          <w:p>
            <w:r>
              <w:rPr>
                <w:sz w:val="18"/>
                <w:szCs w:val="18"/>
              </w:rPr>
              <w:t xml:space="preserve">281,940</w:t>
            </w:r>
          </w:p>
        </w:tc>
      </w:tr>
      <w:tr>
        <w:tc>
          <w:tcPr>
            <w:tcW w:type="dxa" w:w="4680"/>
            <w:shd w:fill="F2F2F2" w:color="auto" w:val="clear"/>
          </w:tcPr>
          <w:p>
            <w:r>
              <w:rPr>
                <w:sz w:val="18"/>
                <w:szCs w:val="18"/>
              </w:rPr>
              <w:t xml:space="preserve">SARIMA (seasonal order collapsed to (0,0,0,12))</w:t>
            </w:r>
          </w:p>
        </w:tc>
        <w:tc>
          <w:tcPr>
            <w:tcW w:type="dxa" w:w="2340"/>
            <w:shd w:fill="F2F2F2" w:color="auto" w:val="clear"/>
          </w:tcPr>
          <w:p>
            <w:r>
              <w:rPr>
                <w:sz w:val="18"/>
                <w:szCs w:val="18"/>
              </w:rPr>
              <w:t xml:space="preserve">275,897</w:t>
            </w:r>
          </w:p>
        </w:tc>
        <w:tc>
          <w:tcPr>
            <w:tcW w:type="dxa" w:w="2340"/>
            <w:shd w:fill="F2F2F2" w:color="auto" w:val="clear"/>
          </w:tcPr>
          <w:p>
            <w:r>
              <w:rPr>
                <w:sz w:val="18"/>
                <w:szCs w:val="18"/>
              </w:rPr>
              <w:t xml:space="preserve">281,940</w:t>
            </w:r>
          </w:p>
        </w:tc>
      </w:tr>
      <w:tr>
        <w:tc>
          <w:tcPr>
            <w:tcW w:type="dxa" w:w="4680"/>
          </w:tcPr>
          <w:p>
            <w:r>
              <w:rPr>
                <w:sz w:val="18"/>
                <w:szCs w:val="18"/>
              </w:rPr>
              <w:t xml:space="preserve">Prophet</w:t>
            </w:r>
          </w:p>
        </w:tc>
        <w:tc>
          <w:tcPr>
            <w:tcW w:type="dxa" w:w="2340"/>
          </w:tcPr>
          <w:p>
            <w:r>
              <w:rPr>
                <w:sz w:val="18"/>
                <w:szCs w:val="18"/>
              </w:rPr>
              <w:t xml:space="preserve">349,634</w:t>
            </w:r>
          </w:p>
        </w:tc>
        <w:tc>
          <w:tcPr>
            <w:tcW w:type="dxa" w:w="2340"/>
          </w:tcPr>
          <w:p>
            <w:r>
              <w:rPr>
                <w:sz w:val="18"/>
                <w:szCs w:val="18"/>
              </w:rPr>
              <w:t xml:space="preserve">354,166</w:t>
            </w:r>
          </w:p>
        </w:tc>
      </w:tr>
    </w:tbl>
    <w:p>
      <w:pPr>
        <w:spacing w:after="160"/>
      </w:pPr>
      <w:r>
        <w:rPr>
          <w:b w:val="false"/>
          <w:bCs w:val="false"/>
          <w:i w:val="false"/>
          <w:iCs w:val="false"/>
        </w:rPr>
        <w:t xml:space="preserve"/>
      </w:r>
    </w:p>
    <w:p>
      <w:pPr>
        <w:spacing w:after="160"/>
      </w:pPr>
      <w:r>
        <w:rPr>
          <w:b w:val="false"/>
          <w:bCs w:val="false"/>
          <w:i w:val="false"/>
          <w:iCs w:val="false"/>
        </w:rPr>
        <w:t xml:space="preserve">ARIMA was selected as the final model. SARIMA's automatic seasonal search found no usable 12-month pattern — an honest result given only 17 training months, well short of the 2+ full years typically needed to reliably estimate yearly seasonality; SARIMA therefore collapsed to being identical to plain ARIMA. Prophet's more literal trend extrapolation overshot the actual test months more than ARIMA's mean-reverting autoregressive term (AR coefficient = -0.66).</w:t>
      </w:r>
    </w:p>
    <w:p>
      <w:pPr>
        <w:spacing w:after="160"/>
      </w:pPr>
      <w:r>
        <w:rPr>
          <w:b w:val="false"/>
          <w:bCs w:val="false"/>
          <w:i w:val="false"/>
          <w:iCs w:val="false"/>
        </w:rPr>
        <w:t xml:space="preserve">The final ARIMA model, refit on all 20 months, forecasts a continued gradual rise over the next 12 months (Sept 2018 - Aug 2019), with the 95% confidence interval widening from roughly R$875K-R$1.36M in month 1 to R$1.04M-R$2.17M by month 12 — reflecting genuine, compounding uncertainty from a short 20-month training history. Yearly seasonality (e.g., a possible November/Black Friday effect visible once in the raw data) could not be confirmed or ruled out with the data available.</w:t>
      </w:r>
    </w:p>
    <w:p>
      <w:pPr>
        <w:pStyle w:val="Heading1"/>
        <w:spacing w:after="120" w:before="240"/>
      </w:pPr>
      <w:r>
        <w:t xml:space="preserve">7. End-to-End Pipeline &amp; Cross-Validation</w:t>
      </w:r>
    </w:p>
    <w:p>
      <w:pPr>
        <w:spacing w:after="160"/>
      </w:pPr>
      <w:r>
        <w:rPr>
          <w:b w:val="false"/>
          <w:bCs w:val="false"/>
          <w:i w:val="false"/>
          <w:iCs w:val="false"/>
        </w:rPr>
        <w:t xml:space="preserve">Module 1's workflow was reformalized as scikit-learn Pipeline objects (ColumnTransformer for preprocessing + model, bundled into one object) and evaluated with 3-fold cross-validation for a more robust estimate than a single train/test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2612"/>
        <w:gridCol w:w="2612"/>
        <w:gridCol w:w="2394"/>
      </w:tblGrid>
      <w:tr>
        <w:trPr>
          <w:tblHeader/>
        </w:trPr>
        <w:tc>
          <w:tcPr>
            <w:tcW w:type="dxa" w:w="1741"/>
            <w:shd w:fill="2E5090" w:color="auto" w:val="clear"/>
          </w:tcPr>
          <w:p>
            <w:r>
              <w:rPr>
                <w:b/>
                <w:bCs/>
                <w:color w:val="FFFFFF"/>
                <w:sz w:val="18"/>
                <w:szCs w:val="18"/>
              </w:rPr>
              <w:t xml:space="preserve">Task</w:t>
            </w:r>
          </w:p>
        </w:tc>
        <w:tc>
          <w:tcPr>
            <w:tcW w:type="dxa" w:w="2612"/>
            <w:shd w:fill="2E5090" w:color="auto" w:val="clear"/>
          </w:tcPr>
          <w:p>
            <w:r>
              <w:rPr>
                <w:b/>
                <w:bCs/>
                <w:color w:val="FFFFFF"/>
                <w:sz w:val="18"/>
                <w:szCs w:val="18"/>
              </w:rPr>
              <w:t xml:space="preserve">Model</w:t>
            </w:r>
          </w:p>
        </w:tc>
        <w:tc>
          <w:tcPr>
            <w:tcW w:type="dxa" w:w="2612"/>
            <w:shd w:fill="2E5090" w:color="auto" w:val="clear"/>
          </w:tcPr>
          <w:p>
            <w:r>
              <w:rPr>
                <w:b/>
                <w:bCs/>
                <w:color w:val="FFFFFF"/>
                <w:sz w:val="18"/>
                <w:szCs w:val="18"/>
              </w:rPr>
              <w:t xml:space="preserve">CV Metric (primary)</w:t>
            </w:r>
          </w:p>
        </w:tc>
        <w:tc>
          <w:tcPr>
            <w:tcW w:type="dxa" w:w="2394"/>
            <w:shd w:fill="2E5090" w:color="auto" w:val="clear"/>
          </w:tcPr>
          <w:p>
            <w:r>
              <w:rPr>
                <w:b/>
                <w:bCs/>
                <w:color w:val="FFFFFF"/>
                <w:sz w:val="18"/>
                <w:szCs w:val="18"/>
              </w:rPr>
              <w:t xml:space="preserve">Held-out Test (final)</w:t>
            </w:r>
          </w:p>
        </w:tc>
      </w:tr>
      <w:tr>
        <w:tc>
          <w:tcPr>
            <w:tcW w:type="dxa" w:w="1741"/>
          </w:tcPr>
          <w:p>
            <w:r>
              <w:rPr>
                <w:sz w:val="18"/>
                <w:szCs w:val="18"/>
              </w:rPr>
              <w:t xml:space="preserve">Regression</w:t>
            </w:r>
          </w:p>
        </w:tc>
        <w:tc>
          <w:tcPr>
            <w:tcW w:type="dxa" w:w="2612"/>
          </w:tcPr>
          <w:p>
            <w:r>
              <w:rPr>
                <w:sz w:val="18"/>
                <w:szCs w:val="18"/>
              </w:rPr>
              <w:t xml:space="preserve">Random Forest (max_depth=10)</w:t>
            </w:r>
          </w:p>
        </w:tc>
        <w:tc>
          <w:tcPr>
            <w:tcW w:type="dxa" w:w="2612"/>
          </w:tcPr>
          <w:p>
            <w:r>
              <w:rPr>
                <w:sz w:val="18"/>
                <w:szCs w:val="18"/>
              </w:rPr>
              <w:t xml:space="preserve">CV R² = 0.252</w:t>
            </w:r>
          </w:p>
        </w:tc>
        <w:tc>
          <w:tcPr>
            <w:tcW w:type="dxa" w:w="2394"/>
          </w:tcPr>
          <w:p>
            <w:r>
              <w:rPr>
                <w:sz w:val="18"/>
                <w:szCs w:val="18"/>
              </w:rPr>
              <w:t xml:space="preserve">Test R² = 0.268</w:t>
            </w:r>
          </w:p>
        </w:tc>
      </w:tr>
      <w:tr>
        <w:tc>
          <w:tcPr>
            <w:tcW w:type="dxa" w:w="1741"/>
            <w:shd w:fill="F2F2F2" w:color="auto" w:val="clear"/>
          </w:tcPr>
          <w:p>
            <w:r>
              <w:rPr>
                <w:sz w:val="18"/>
                <w:szCs w:val="18"/>
              </w:rPr>
              <w:t xml:space="preserve">Regression</w:t>
            </w:r>
          </w:p>
        </w:tc>
        <w:tc>
          <w:tcPr>
            <w:tcW w:type="dxa" w:w="2612"/>
            <w:shd w:fill="F2F2F2" w:color="auto" w:val="clear"/>
          </w:tcPr>
          <w:p>
            <w:r>
              <w:rPr>
                <w:sz w:val="18"/>
                <w:szCs w:val="18"/>
              </w:rPr>
              <w:t xml:space="preserve">Linear Regression</w:t>
            </w:r>
          </w:p>
        </w:tc>
        <w:tc>
          <w:tcPr>
            <w:tcW w:type="dxa" w:w="2612"/>
            <w:shd w:fill="F2F2F2" w:color="auto" w:val="clear"/>
          </w:tcPr>
          <w:p>
            <w:r>
              <w:rPr>
                <w:sz w:val="18"/>
                <w:szCs w:val="18"/>
              </w:rPr>
              <w:t xml:space="preserve">CV R² = 0.223</w:t>
            </w:r>
          </w:p>
        </w:tc>
        <w:tc>
          <w:tcPr>
            <w:tcW w:type="dxa" w:w="2394"/>
            <w:shd w:fill="F2F2F2" w:color="auto" w:val="clear"/>
          </w:tcPr>
          <w:p>
            <w:r>
              <w:rPr>
                <w:sz w:val="18"/>
                <w:szCs w:val="18"/>
              </w:rPr>
              <w:t xml:space="preserve">—</w:t>
            </w:r>
          </w:p>
        </w:tc>
      </w:tr>
      <w:tr>
        <w:tc>
          <w:tcPr>
            <w:tcW w:type="dxa" w:w="1741"/>
          </w:tcPr>
          <w:p>
            <w:r>
              <w:rPr>
                <w:sz w:val="18"/>
                <w:szCs w:val="18"/>
              </w:rPr>
              <w:t xml:space="preserve">Classification</w:t>
            </w:r>
          </w:p>
        </w:tc>
        <w:tc>
          <w:tcPr>
            <w:tcW w:type="dxa" w:w="2612"/>
          </w:tcPr>
          <w:p>
            <w:r>
              <w:rPr>
                <w:sz w:val="18"/>
                <w:szCs w:val="18"/>
              </w:rPr>
              <w:t xml:space="preserve">Random Forest (max_depth=10)</w:t>
            </w:r>
          </w:p>
        </w:tc>
        <w:tc>
          <w:tcPr>
            <w:tcW w:type="dxa" w:w="2612"/>
          </w:tcPr>
          <w:p>
            <w:r>
              <w:rPr>
                <w:sz w:val="18"/>
                <w:szCs w:val="18"/>
              </w:rPr>
              <w:t xml:space="preserve">CV ROC-AUC = 0.744, Recall = 0.533</w:t>
            </w:r>
          </w:p>
        </w:tc>
        <w:tc>
          <w:tcPr>
            <w:tcW w:type="dxa" w:w="2394"/>
          </w:tcPr>
          <w:p>
            <w:r>
              <w:rPr>
                <w:sz w:val="18"/>
                <w:szCs w:val="18"/>
              </w:rPr>
              <w:t xml:space="preserve">Test ROC-AUC = 0.745, Recall = 0.535</w:t>
            </w:r>
          </w:p>
        </w:tc>
      </w:tr>
      <w:tr>
        <w:tc>
          <w:tcPr>
            <w:tcW w:type="dxa" w:w="1741"/>
            <w:shd w:fill="F2F2F2" w:color="auto" w:val="clear"/>
          </w:tcPr>
          <w:p>
            <w:r>
              <w:rPr>
                <w:sz w:val="18"/>
                <w:szCs w:val="18"/>
              </w:rPr>
              <w:t xml:space="preserve">Classification</w:t>
            </w:r>
          </w:p>
        </w:tc>
        <w:tc>
          <w:tcPr>
            <w:tcW w:type="dxa" w:w="2612"/>
            <w:shd w:fill="F2F2F2" w:color="auto" w:val="clear"/>
          </w:tcPr>
          <w:p>
            <w:r>
              <w:rPr>
                <w:sz w:val="18"/>
                <w:szCs w:val="18"/>
              </w:rPr>
              <w:t xml:space="preserve">Logistic Regression</w:t>
            </w:r>
          </w:p>
        </w:tc>
        <w:tc>
          <w:tcPr>
            <w:tcW w:type="dxa" w:w="2612"/>
            <w:shd w:fill="F2F2F2" w:color="auto" w:val="clear"/>
          </w:tcPr>
          <w:p>
            <w:r>
              <w:rPr>
                <w:sz w:val="18"/>
                <w:szCs w:val="18"/>
              </w:rPr>
              <w:t xml:space="preserve">CV ROC-AUC = 0.695, Recall = 0.632</w:t>
            </w:r>
          </w:p>
        </w:tc>
        <w:tc>
          <w:tcPr>
            <w:tcW w:type="dxa" w:w="2394"/>
            <w:shd w:fill="F2F2F2" w:color="auto" w:val="clear"/>
          </w:tcPr>
          <w:p>
            <w:r>
              <w:rPr>
                <w:sz w:val="18"/>
                <w:szCs w:val="18"/>
              </w:rPr>
              <w:t xml:space="preserve">—</w:t>
            </w:r>
          </w:p>
        </w:tc>
      </w:tr>
    </w:tbl>
    <w:p>
      <w:pPr>
        <w:spacing w:after="160"/>
      </w:pPr>
      <w:r>
        <w:rPr>
          <w:b w:val="false"/>
          <w:bCs w:val="false"/>
          <w:i w:val="false"/>
          <w:iCs w:val="false"/>
        </w:rPr>
        <w:t xml:space="preserve"/>
      </w:r>
    </w:p>
    <w:p>
      <w:pPr>
        <w:spacing w:after="160"/>
      </w:pPr>
      <w:r>
        <w:rPr>
          <w:b w:val="false"/>
          <w:bCs w:val="false"/>
          <w:i w:val="false"/>
          <w:iCs w:val="false"/>
        </w:rPr>
        <w:t xml:space="preserve">Regularizing Random Forest (capping max_depth at 10, versus the unrestricted trees in Module 1) more than 8x'd recall on the late-delivery classifier (0.060 → 0.533) while keeping accuracy and ROC-AUC as the best in class — evidence that the earlier low recall was a model-capacity artifact, not a hard limit of the data.</w:t>
      </w:r>
    </w:p>
    <w:p>
      <w:pPr>
        <w:pStyle w:val="Heading1"/>
        <w:spacing w:after="120" w:before="240"/>
      </w:pPr>
      <w:r>
        <w:t xml:space="preserve">8. Overall Conclusions &amp; Final Model Recommendations</w:t>
      </w:r>
    </w:p>
    <w:p>
      <w:pPr>
        <w:pStyle w:val="ListParagraph"/>
        <w:numPr>
          <w:ilvl w:val="0"/>
          <w:numId w:val="1"/>
        </w:numPr>
        <w:spacing w:after="80"/>
      </w:pPr>
      <w:r>
        <w:t xml:space="preserve">Delivery time regression: Random Forest Regressor (regularized), R² ≈ 0.27 on held-out data.</w:t>
      </w:r>
    </w:p>
    <w:p>
      <w:pPr>
        <w:pStyle w:val="ListParagraph"/>
        <w:numPr>
          <w:ilvl w:val="0"/>
          <w:numId w:val="1"/>
        </w:numPr>
        <w:spacing w:after="80"/>
      </w:pPr>
      <w:r>
        <w:t xml:space="preserve">Delivery delay classification: Random Forest (max_depth=10) for overall ranking/accuracy (ROC-AUC 0.745); Logistic Regression when catching more true late orders matters more than avoiding false alarms (Recall 0.632 vs. 0.535).</w:t>
      </w:r>
    </w:p>
    <w:p>
      <w:pPr>
        <w:pStyle w:val="ListParagraph"/>
        <w:numPr>
          <w:ilvl w:val="0"/>
          <w:numId w:val="1"/>
        </w:numPr>
        <w:spacing w:after="80"/>
      </w:pPr>
      <w:r>
        <w:t xml:space="preserve">Customer segmentation: KMeans (k=4) for actionable marketing segments; DBSCAN's noise points as an automatic flag list for high-value, poorly-served customers.</w:t>
      </w:r>
    </w:p>
    <w:p>
      <w:pPr>
        <w:pStyle w:val="ListParagraph"/>
        <w:numPr>
          <w:ilvl w:val="0"/>
          <w:numId w:val="1"/>
        </w:numPr>
        <w:spacing w:after="80"/>
      </w:pPr>
      <w:r>
        <w:t xml:space="preserve">Review sentiment: Logistic Regression + TF-IDF, 90.4% accuracy — strong enough for production triage of incoming reviews.</w:t>
      </w:r>
    </w:p>
    <w:p>
      <w:pPr>
        <w:pStyle w:val="ListParagraph"/>
        <w:numPr>
          <w:ilvl w:val="0"/>
          <w:numId w:val="1"/>
        </w:numPr>
        <w:spacing w:after="80"/>
      </w:pPr>
      <w:r>
        <w:t xml:space="preserve">Sales forecasting: ARIMA(1,1,0) for the next 1-3 months with reasonable confidence; forecasts beyond that carry wide, honestly-reported uncertainty given the 20-month training history.</w:t>
      </w:r>
    </w:p>
    <w:p>
      <w:pPr>
        <w:spacing w:after="160"/>
      </w:pPr>
      <w:r>
        <w:rPr>
          <w:b w:val="false"/>
          <w:bCs w:val="false"/>
          <w:i w:val="false"/>
          <w:iCs w:val="false"/>
        </w:rPr>
        <w:t xml:space="preserve"/>
      </w:r>
    </w:p>
    <w:p>
      <w:pPr>
        <w:spacing w:after="160"/>
      </w:pPr>
      <w:r>
        <w:rPr>
          <w:b/>
          <w:bCs/>
          <w:i w:val="false"/>
          <w:iCs w:val="false"/>
        </w:rPr>
        <w:t xml:space="preserve">Across all four modules, the single most actionable business finding is consistent: delivery performance is the dominant lever on customer satisfaction and retention on this platform, ahead of product price, category, or payment method. Investment in logistics reliability would likely move the needle on review scores, repeat-purchase segments, and late-delivery risk simultaneously.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2026-07-14T18:28:56.751Z</dcterms:created>
  <dcterms:modified xsi:type="dcterms:W3CDTF">2026-07-14T18:28:56.752Z</dcterms:modified>
</cp:coreProperties>
</file>

<file path=docProps/custom.xml><?xml version="1.0" encoding="utf-8"?>
<Properties xmlns="http://schemas.openxmlformats.org/officeDocument/2006/custom-properties" xmlns:vt="http://schemas.openxmlformats.org/officeDocument/2006/docPropsVTypes"/>
</file>