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sz w:val="52"/>
          <w:szCs w:val="52"/>
        </w:rPr>
        <w:t xml:space="preserve">📦 Olist E-Commerce ML Project</w:t>
      </w:r>
    </w:p>
    <w:p>
      <w:pPr>
        <w:spacing w:after="400" w:before="100"/>
        <w:jc w:val="center"/>
      </w:pPr>
      <w:r>
        <w:rPr>
          <w:b/>
          <w:bCs/>
          <w:color w:val="2F5496"/>
          <w:sz w:val="36"/>
          <w:szCs w:val="36"/>
        </w:rPr>
        <w:t xml:space="preserve">Model Comparison Report</w:t>
      </w:r>
    </w:p>
    <w:p>
      <w:pPr>
        <w:spacing w:after="100"/>
        <w:jc w:val="center"/>
      </w:pPr>
      <w:r>
        <w:rPr>
          <w:i/>
          <w:iCs/>
          <w:sz w:val="24"/>
          <w:szCs w:val="24"/>
        </w:rPr>
        <w:t xml:space="preserve">Intelligent Business Analytics &amp; Forecasting System — ML Mini Project</w:t>
      </w:r>
    </w:p>
    <w:p>
      <w:pPr>
        <w:spacing w:after="400"/>
        <w:jc w:val="center"/>
      </w:pPr>
      <w:r>
        <w:rPr>
          <w:sz w:val="20"/>
          <w:szCs w:val="20"/>
        </w:rPr>
        <w:t xml:space="preserve">Covering: Predictive Modeling (Regression &amp; Classification) · Customer Segmentation (Clustering) · NLP Review Analysis · Time-Series Forecasting · End-to-End Pipelines with Cross-Validation</w:t>
      </w:r>
    </w:p>
    <w:p>
      <w:pPr>
        <w:spacing w:after="600"/>
        <w:jc w:val="center"/>
      </w:pPr>
      <w:r>
        <w:rPr>
          <w:b/>
          <w:bCs/>
          <w:sz w:val="22"/>
          <w:szCs w:val="22"/>
        </w:rPr>
        <w:t xml:space="preserve">GitHub Repository: </w:t>
      </w:r>
      <w:hyperlink w:history="1" r:id="rIdntxhbabzcjgoxm6gvvz-f">
        <w:r>
          <w:rPr>
            <w:rStyle w:val="Hyperlink"/>
            <w:sz w:val="22"/>
            <w:szCs w:val="22"/>
          </w:rPr>
          <w:t xml:space="preserve">github.com/rahulkantode26/Olist-E-Commerce-Data-Analysis-Project</w:t>
        </w:r>
      </w:hyperlink>
    </w:p>
    <w:p>
      <w:r>
        <w:br w:type="page"/>
      </w:r>
    </w:p>
    <w:p>
      <w:pPr>
        <w:pStyle w:val="Heading1"/>
        <w:spacing w:after="200" w:before="400"/>
      </w:pPr>
      <w:r>
        <w:t xml:space="preserve">Introduction</w:t>
      </w:r>
    </w:p>
    <w:p>
      <w:pPr>
        <w:spacing w:after="150"/>
      </w:pPr>
      <w:r>
        <w:rPr>
          <w:sz w:val="22"/>
          <w:szCs w:val="22"/>
        </w:rPr>
        <w:t xml:space="preserve">This report is a consolidated model-comparison companion to the Olist E-Commerce Data Analysis notebook. The underlying project works with the Brazilian E-Commerce Public Dataset by Olist — real, anonymized orders placed between 2016 and 2018, spread across 9 linked CSV files (orders, items, products, customers, sellers, payments, reviews, geolocation, and a category-name translation table).</w:t>
      </w:r>
    </w:p>
    <w:p>
      <w:pPr>
        <w:spacing w:after="150"/>
      </w:pPr>
      <w:r>
        <w:rPr>
          <w:sz w:val="22"/>
          <w:szCs w:val="22"/>
        </w:rPr>
        <w:t xml:space="preserve">The notebook is organized around four ML pillars, each producing its own set of models that are trained, evaluated, and compared side by side:</w:t>
      </w:r>
    </w:p>
    <w:p>
      <w:pPr>
        <w:pStyle w:val="ListParagraph"/>
        <w:numPr>
          <w:ilvl w:val="0"/>
          <w:numId w:val="1"/>
        </w:numPr>
        <w:spacing w:after="80"/>
      </w:pPr>
      <w:r>
        <w:rPr>
          <w:sz w:val="22"/>
          <w:szCs w:val="22"/>
        </w:rPr>
        <w:t xml:space="preserve">Predictive Modeling — Regression (delivery time) and Classification (late-delivery risk)</w:t>
      </w:r>
    </w:p>
    <w:p>
      <w:pPr>
        <w:pStyle w:val="ListParagraph"/>
        <w:numPr>
          <w:ilvl w:val="0"/>
          <w:numId w:val="1"/>
        </w:numPr>
        <w:spacing w:after="80"/>
      </w:pPr>
      <w:r>
        <w:rPr>
          <w:sz w:val="22"/>
          <w:szCs w:val="22"/>
        </w:rPr>
        <w:t xml:space="preserve">Customer Segmentation — unsupervised clustering (KMeans vs. DBSCAN)</w:t>
      </w:r>
    </w:p>
    <w:p>
      <w:pPr>
        <w:pStyle w:val="ListParagraph"/>
        <w:numPr>
          <w:ilvl w:val="0"/>
          <w:numId w:val="1"/>
        </w:numPr>
        <w:spacing w:after="80"/>
      </w:pPr>
      <w:r>
        <w:rPr>
          <w:sz w:val="22"/>
          <w:szCs w:val="22"/>
        </w:rPr>
        <w:t xml:space="preserve">NLP Review Analysis — sentiment classification from review text (TF-IDF + Logistic Regression, with Word2Vec and NER explored)</w:t>
      </w:r>
    </w:p>
    <w:p>
      <w:pPr>
        <w:pStyle w:val="ListParagraph"/>
        <w:numPr>
          <w:ilvl w:val="0"/>
          <w:numId w:val="1"/>
        </w:numPr>
        <w:spacing w:after="80"/>
      </w:pPr>
      <w:r>
        <w:rPr>
          <w:sz w:val="22"/>
          <w:szCs w:val="22"/>
        </w:rPr>
        <w:t xml:space="preserve">Time-Series Sales Forecasting — ARIMA vs. SARIMA vs. Prophet</w:t>
      </w:r>
    </w:p>
    <w:p>
      <w:pPr>
        <w:spacing w:after="150"/>
      </w:pPr>
      <w:r>
        <w:rPr>
          <w:sz w:val="22"/>
          <w:szCs w:val="22"/>
        </w:rPr>
        <w:t xml:space="preserve">A final module rebuilds the top regression and classification models as proper scikit-learn Pipelines and re-validates them with cross-validation, before locking in the two production-ready final models. Every table below reproduces the actual metrics produced when the notebook was run, with the best score in each column highlighted in green.</w:t>
      </w:r>
    </w:p>
    <w:p>
      <w:pPr>
        <w:pStyle w:val="Heading1"/>
        <w:spacing w:after="200" w:before="400"/>
      </w:pPr>
      <w:r>
        <w:t xml:space="preserve">1. Predictive Modeling — Regression</w:t>
      </w:r>
    </w:p>
    <w:p>
      <w:pPr>
        <w:pStyle w:val="Heading2"/>
        <w:spacing w:after="150" w:before="300"/>
      </w:pPr>
      <w:r>
        <w:t xml:space="preserve">Goal: Predict delivery_time_days</w:t>
      </w:r>
    </w:p>
    <w:p>
      <w:pPr>
        <w:spacing w:after="150"/>
      </w:pPr>
      <w:r>
        <w:rPr>
          <w:sz w:val="22"/>
          <w:szCs w:val="22"/>
        </w:rPr>
        <w:t xml:space="preserve">Four regression models were trained to predict how many days an order will take to actually arrive, using order, item, product, payment, and location-derived features.</w:t>
      </w:r>
    </w:p>
    <w:p>
      <w:pPr>
        <w:pStyle w:val="ListParagraph"/>
        <w:numPr>
          <w:ilvl w:val="0"/>
          <w:numId w:val="1"/>
        </w:numPr>
        <w:spacing w:after="80"/>
      </w:pPr>
      <w:r>
        <w:rPr>
          <w:sz w:val="22"/>
          <w:szCs w:val="22"/>
        </w:rPr>
        <w:t xml:space="preserve">Linear Regression — simplest baseline, fits a straight-line relationship between features and delivery time</w:t>
      </w:r>
    </w:p>
    <w:p>
      <w:pPr>
        <w:pStyle w:val="ListParagraph"/>
        <w:numPr>
          <w:ilvl w:val="0"/>
          <w:numId w:val="1"/>
        </w:numPr>
        <w:spacing w:after="80"/>
      </w:pPr>
      <w:r>
        <w:rPr>
          <w:sz w:val="22"/>
          <w:szCs w:val="22"/>
        </w:rPr>
        <w:t xml:space="preserve">Ridge Regression — Linear Regression plus an L2 penalty that shrinks large coefficients to reduce overfitting</w:t>
      </w:r>
    </w:p>
    <w:p>
      <w:pPr>
        <w:pStyle w:val="ListParagraph"/>
        <w:numPr>
          <w:ilvl w:val="0"/>
          <w:numId w:val="1"/>
        </w:numPr>
        <w:spacing w:after="80"/>
      </w:pPr>
      <w:r>
        <w:rPr>
          <w:sz w:val="22"/>
          <w:szCs w:val="22"/>
        </w:rPr>
        <w:t xml:space="preserve">Lasso Regression — like Ridge, but its L1 penalty can shrink some coefficients all the way to zero, acting like automatic feature selection</w:t>
      </w:r>
    </w:p>
    <w:p>
      <w:pPr>
        <w:pStyle w:val="ListParagraph"/>
        <w:numPr>
          <w:ilvl w:val="0"/>
          <w:numId w:val="1"/>
        </w:numPr>
        <w:spacing w:after="80"/>
      </w:pPr>
      <w:r>
        <w:rPr>
          <w:sz w:val="22"/>
          <w:szCs w:val="22"/>
        </w:rPr>
        <w:t xml:space="preserve">Random Forest Regressor — an ensemble of decision trees that can capture non-linear patterns and feature interactions</w:t>
      </w:r>
    </w:p>
    <w:p>
      <w:pPr>
        <w:spacing w:after="150"/>
      </w:pPr>
      <w:r>
        <w:rPr>
          <w:sz w:val="22"/>
          <w:szCs w:val="22"/>
        </w:rPr>
        <w:t xml:space="preserve">Models are judged on:</w:t>
      </w:r>
    </w:p>
    <w:p>
      <w:pPr>
        <w:pStyle w:val="ListParagraph"/>
        <w:numPr>
          <w:ilvl w:val="0"/>
          <w:numId w:val="1"/>
        </w:numPr>
        <w:spacing w:after="80"/>
      </w:pPr>
      <w:r>
        <w:rPr>
          <w:sz w:val="22"/>
          <w:szCs w:val="22"/>
        </w:rPr>
        <w:t xml:space="preserve">MAE (Mean Absolute Error) — average error in days, easy to interpret directly</w:t>
      </w:r>
    </w:p>
    <w:p>
      <w:pPr>
        <w:pStyle w:val="ListParagraph"/>
        <w:numPr>
          <w:ilvl w:val="0"/>
          <w:numId w:val="1"/>
        </w:numPr>
        <w:spacing w:after="80"/>
      </w:pPr>
      <w:r>
        <w:rPr>
          <w:sz w:val="22"/>
          <w:szCs w:val="22"/>
        </w:rPr>
        <w:t xml:space="preserve">RMSE (Root Mean Squared Error) — like MAE but penalizes large mistakes more heavily</w:t>
      </w:r>
    </w:p>
    <w:p>
      <w:pPr>
        <w:pStyle w:val="ListParagraph"/>
        <w:numPr>
          <w:ilvl w:val="0"/>
          <w:numId w:val="1"/>
        </w:numPr>
        <w:spacing w:after="80"/>
      </w:pPr>
      <w:r>
        <w:rPr>
          <w:sz w:val="22"/>
          <w:szCs w:val="22"/>
        </w:rPr>
        <w:t xml:space="preserve">R² (R-squared) — how much of the variation in delivery time the model explains (1.0 = perfect, 0 = no better than guessing the average)</w:t>
      </w:r>
    </w:p>
    <w:p>
      <w:pPr>
        <w:pStyle w:val="Heading3"/>
        <w:spacing w:after="100" w:before="200"/>
      </w:pPr>
      <w:r>
        <w:t xml:space="preserve">Regression Model Comparison Table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1500"/>
      </w:tblGrid>
      <w:tr>
        <w:trPr>
          <w:tblHeader/>
        </w:trPr>
        <w:tc>
          <w:tcPr>
            <w:tcW w:type="dxa" w:w="3000"/>
            <w:shd w:fill="2F5496" w:color="auto" w:val="clear"/>
          </w:tcPr>
          <w:p>
            <w:pPr>
              <w:jc w:val="center"/>
            </w:pPr>
            <w:r>
              <w:rPr>
                <w:b/>
                <w:bCs/>
                <w:color w:val="FFFFFF"/>
                <w:sz w:val="21"/>
                <w:szCs w:val="21"/>
              </w:rPr>
              <w:t xml:space="preserve">Model</w:t>
            </w:r>
          </w:p>
        </w:tc>
        <w:tc>
          <w:tcPr>
            <w:tcW w:type="dxa" w:w="2000"/>
            <w:shd w:fill="2F5496" w:color="auto" w:val="clear"/>
          </w:tcPr>
          <w:p>
            <w:pPr>
              <w:jc w:val="center"/>
            </w:pPr>
            <w:r>
              <w:rPr>
                <w:b/>
                <w:bCs/>
                <w:color w:val="FFFFFF"/>
                <w:sz w:val="21"/>
                <w:szCs w:val="21"/>
              </w:rPr>
              <w:t xml:space="preserve">MAE (days)</w:t>
            </w:r>
          </w:p>
        </w:tc>
        <w:tc>
          <w:tcPr>
            <w:tcW w:type="dxa" w:w="2000"/>
            <w:shd w:fill="2F5496" w:color="auto" w:val="clear"/>
          </w:tcPr>
          <w:p>
            <w:pPr>
              <w:jc w:val="center"/>
            </w:pPr>
            <w:r>
              <w:rPr>
                <w:b/>
                <w:bCs/>
                <w:color w:val="FFFFFF"/>
                <w:sz w:val="21"/>
                <w:szCs w:val="21"/>
              </w:rPr>
              <w:t xml:space="preserve">RMSE (days)</w:t>
            </w:r>
          </w:p>
        </w:tc>
        <w:tc>
          <w:tcPr>
            <w:tcW w:type="dxa" w:w="1500"/>
            <w:shd w:fill="2F5496" w:color="auto" w:val="clear"/>
          </w:tcPr>
          <w:p>
            <w:pPr>
              <w:jc w:val="center"/>
            </w:pPr>
            <w:r>
              <w:rPr>
                <w:b/>
                <w:bCs/>
                <w:color w:val="FFFFFF"/>
                <w:sz w:val="21"/>
                <w:szCs w:val="21"/>
              </w:rPr>
              <w:t xml:space="preserve">R²</w:t>
            </w:r>
          </w:p>
        </w:tc>
      </w:tr>
      <w:tr>
        <w:tc>
          <w:tcPr>
            <w:tcW w:type="dxa" w:w="3000"/>
          </w:tcPr>
          <w:p>
            <w:pPr>
              <w:jc w:val="left"/>
            </w:pPr>
            <w:r>
              <w:rPr>
                <w:b w:val="false"/>
                <w:bCs w:val="false"/>
                <w:sz w:val="21"/>
                <w:szCs w:val="21"/>
              </w:rPr>
              <w:t xml:space="preserve">Random Forest Regressor</w:t>
            </w:r>
          </w:p>
        </w:tc>
        <w:tc>
          <w:tcPr>
            <w:tcW w:type="dxa" w:w="2000"/>
            <w:shd w:fill="C6EFCE" w:color="auto" w:val="clear"/>
          </w:tcPr>
          <w:p>
            <w:pPr>
              <w:jc w:val="center"/>
            </w:pPr>
            <w:r>
              <w:rPr>
                <w:b w:val="false"/>
                <w:bCs w:val="false"/>
                <w:sz w:val="21"/>
                <w:szCs w:val="21"/>
              </w:rPr>
              <w:t xml:space="preserve">5.000</w:t>
            </w:r>
          </w:p>
        </w:tc>
        <w:tc>
          <w:tcPr>
            <w:tcW w:type="dxa" w:w="2000"/>
            <w:shd w:fill="C6EFCE" w:color="auto" w:val="clear"/>
          </w:tcPr>
          <w:p>
            <w:pPr>
              <w:jc w:val="center"/>
            </w:pPr>
            <w:r>
              <w:rPr>
                <w:b w:val="false"/>
                <w:bCs w:val="false"/>
                <w:sz w:val="21"/>
                <w:szCs w:val="21"/>
              </w:rPr>
              <w:t xml:space="preserve">7.933</w:t>
            </w:r>
          </w:p>
        </w:tc>
        <w:tc>
          <w:tcPr>
            <w:tcW w:type="dxa" w:w="1500"/>
            <w:shd w:fill="C6EFCE" w:color="auto" w:val="clear"/>
          </w:tcPr>
          <w:p>
            <w:pPr>
              <w:jc w:val="center"/>
            </w:pPr>
            <w:r>
              <w:rPr>
                <w:b w:val="false"/>
                <w:bCs w:val="false"/>
                <w:sz w:val="21"/>
                <w:szCs w:val="21"/>
              </w:rPr>
              <w:t xml:space="preserve">0.275</w:t>
            </w:r>
          </w:p>
        </w:tc>
      </w:tr>
      <w:tr>
        <w:tc>
          <w:tcPr>
            <w:tcW w:type="dxa" w:w="3000"/>
          </w:tcPr>
          <w:p>
            <w:pPr>
              <w:jc w:val="left"/>
            </w:pPr>
            <w:r>
              <w:rPr>
                <w:b w:val="false"/>
                <w:bCs w:val="false"/>
                <w:sz w:val="21"/>
                <w:szCs w:val="21"/>
              </w:rPr>
              <w:t xml:space="preserve">Ridge Regression</w:t>
            </w:r>
          </w:p>
        </w:tc>
        <w:tc>
          <w:tcPr>
            <w:tcW w:type="dxa" w:w="2000"/>
          </w:tcPr>
          <w:p>
            <w:pPr>
              <w:jc w:val="center"/>
            </w:pPr>
            <w:r>
              <w:rPr>
                <w:b w:val="false"/>
                <w:bCs w:val="false"/>
                <w:sz w:val="21"/>
                <w:szCs w:val="21"/>
              </w:rPr>
              <w:t xml:space="preserve">5.293</w:t>
            </w:r>
          </w:p>
        </w:tc>
        <w:tc>
          <w:tcPr>
            <w:tcW w:type="dxa" w:w="2000"/>
          </w:tcPr>
          <w:p>
            <w:pPr>
              <w:jc w:val="center"/>
            </w:pPr>
            <w:r>
              <w:rPr>
                <w:b w:val="false"/>
                <w:bCs w:val="false"/>
                <w:sz w:val="21"/>
                <w:szCs w:val="21"/>
              </w:rPr>
              <w:t xml:space="preserve">8.170</w:t>
            </w:r>
          </w:p>
        </w:tc>
        <w:tc>
          <w:tcPr>
            <w:tcW w:type="dxa" w:w="1500"/>
          </w:tcPr>
          <w:p>
            <w:pPr>
              <w:jc w:val="center"/>
            </w:pPr>
            <w:r>
              <w:rPr>
                <w:b w:val="false"/>
                <w:bCs w:val="false"/>
                <w:sz w:val="21"/>
                <w:szCs w:val="21"/>
              </w:rPr>
              <w:t xml:space="preserve">0.231</w:t>
            </w:r>
          </w:p>
        </w:tc>
      </w:tr>
      <w:tr>
        <w:tc>
          <w:tcPr>
            <w:tcW w:type="dxa" w:w="3000"/>
          </w:tcPr>
          <w:p>
            <w:pPr>
              <w:jc w:val="left"/>
            </w:pPr>
            <w:r>
              <w:rPr>
                <w:b w:val="false"/>
                <w:bCs w:val="false"/>
                <w:sz w:val="21"/>
                <w:szCs w:val="21"/>
              </w:rPr>
              <w:t xml:space="preserve">Linear Regression</w:t>
            </w:r>
          </w:p>
        </w:tc>
        <w:tc>
          <w:tcPr>
            <w:tcW w:type="dxa" w:w="2000"/>
          </w:tcPr>
          <w:p>
            <w:pPr>
              <w:jc w:val="center"/>
            </w:pPr>
            <w:r>
              <w:rPr>
                <w:b w:val="false"/>
                <w:bCs w:val="false"/>
                <w:sz w:val="21"/>
                <w:szCs w:val="21"/>
              </w:rPr>
              <w:t xml:space="preserve">5.293</w:t>
            </w:r>
          </w:p>
        </w:tc>
        <w:tc>
          <w:tcPr>
            <w:tcW w:type="dxa" w:w="2000"/>
          </w:tcPr>
          <w:p>
            <w:pPr>
              <w:jc w:val="center"/>
            </w:pPr>
            <w:r>
              <w:rPr>
                <w:b w:val="false"/>
                <w:bCs w:val="false"/>
                <w:sz w:val="21"/>
                <w:szCs w:val="21"/>
              </w:rPr>
              <w:t xml:space="preserve">8.171</w:t>
            </w:r>
          </w:p>
        </w:tc>
        <w:tc>
          <w:tcPr>
            <w:tcW w:type="dxa" w:w="1500"/>
          </w:tcPr>
          <w:p>
            <w:pPr>
              <w:jc w:val="center"/>
            </w:pPr>
            <w:r>
              <w:rPr>
                <w:b w:val="false"/>
                <w:bCs w:val="false"/>
                <w:sz w:val="21"/>
                <w:szCs w:val="21"/>
              </w:rPr>
              <w:t xml:space="preserve">0.231</w:t>
            </w:r>
          </w:p>
        </w:tc>
      </w:tr>
      <w:tr>
        <w:tc>
          <w:tcPr>
            <w:tcW w:type="dxa" w:w="3000"/>
          </w:tcPr>
          <w:p>
            <w:pPr>
              <w:jc w:val="left"/>
            </w:pPr>
            <w:r>
              <w:rPr>
                <w:b w:val="false"/>
                <w:bCs w:val="false"/>
                <w:sz w:val="21"/>
                <w:szCs w:val="21"/>
              </w:rPr>
              <w:t xml:space="preserve">Lasso Regression</w:t>
            </w:r>
          </w:p>
        </w:tc>
        <w:tc>
          <w:tcPr>
            <w:tcW w:type="dxa" w:w="2000"/>
          </w:tcPr>
          <w:p>
            <w:pPr>
              <w:jc w:val="center"/>
            </w:pPr>
            <w:r>
              <w:rPr>
                <w:b w:val="false"/>
                <w:bCs w:val="false"/>
                <w:sz w:val="21"/>
                <w:szCs w:val="21"/>
              </w:rPr>
              <w:t xml:space="preserve">5.414</w:t>
            </w:r>
          </w:p>
        </w:tc>
        <w:tc>
          <w:tcPr>
            <w:tcW w:type="dxa" w:w="2000"/>
          </w:tcPr>
          <w:p>
            <w:pPr>
              <w:jc w:val="center"/>
            </w:pPr>
            <w:r>
              <w:rPr>
                <w:b w:val="false"/>
                <w:bCs w:val="false"/>
                <w:sz w:val="21"/>
                <w:szCs w:val="21"/>
              </w:rPr>
              <w:t xml:space="preserve">8.335</w:t>
            </w:r>
          </w:p>
        </w:tc>
        <w:tc>
          <w:tcPr>
            <w:tcW w:type="dxa" w:w="1500"/>
          </w:tcPr>
          <w:p>
            <w:pPr>
              <w:jc w:val="center"/>
            </w:pPr>
            <w:r>
              <w:rPr>
                <w:b w:val="false"/>
                <w:bCs w:val="false"/>
                <w:sz w:val="21"/>
                <w:szCs w:val="21"/>
              </w:rPr>
              <w:t xml:space="preserve">0.199</w:t>
            </w:r>
          </w:p>
        </w:tc>
      </w:tr>
    </w:tbl>
    <w:p>
      <w:pPr>
        <w:spacing w:after="200"/>
      </w:pPr>
    </w:p>
    <w:p>
      <w:pPr>
        <w:pStyle w:val="Heading3"/>
        <w:spacing w:after="100" w:before="200"/>
      </w:pPr>
      <w:r>
        <w:t xml:space="preserve">Best Model Justification</w:t>
      </w:r>
    </w:p>
    <w:p>
      <w:pPr>
        <w:spacing w:after="150"/>
      </w:pPr>
      <w:r>
        <w:rPr>
          <w:sz w:val="22"/>
          <w:szCs w:val="22"/>
        </w:rPr>
        <w:t xml:space="preserve">The Random Forest Regressor comes out ahead on all three metrics (lowest MAE, lowest RMSE, highest R²). This makes sense: delivery time likely depends on non-linear interactions — for example "far-away state" + "heavy item" + "December" compounding together — which tree-based models capture naturally but straight-line models (Linear/Ridge/Lasso) cannot.</w:t>
      </w:r>
    </w:p>
    <w:p>
      <w:pPr>
        <w:pBdr>
          <w:left w:val="single" w:color="2F5496" w:sz="20"/>
        </w:pBdr>
        <w:shd w:fill="F2F2F2" w:color="auto" w:val="clear"/>
        <w:spacing w:after="200"/>
        <w:ind w:left="200"/>
      </w:pPr>
      <w:r>
        <w:rPr>
          <w:i/>
          <w:iCs/>
          <w:sz w:val="21"/>
          <w:szCs w:val="21"/>
        </w:rPr>
        <w:t xml:space="preserve">Note: the R² here is modest across all four models. Delivery time still carries a lot of real-world randomness — traffic, carrier delays, warehouse backlogs — that simply isn't present in the dataset, so no model here was ever going to be near-perfect. That's an expected and honest result, not a modeling failure.</w:t>
      </w:r>
    </w:p>
    <w:p>
      <w:pPr>
        <w:pStyle w:val="Heading3"/>
        <w:spacing w:after="100" w:before="200"/>
      </w:pPr>
      <w:r>
        <w:t xml:space="preserve">Top Features Driving Delivery Time</w:t>
      </w:r>
    </w:p>
    <w:p>
      <w:pPr>
        <w:spacing w:after="150"/>
      </w:pPr>
      <w:r>
        <w:rPr>
          <w:sz w:val="22"/>
          <w:szCs w:val="22"/>
        </w:rPr>
        <w:t xml:space="preserve">Using the trained Random Forest Regressor's feature_importances_, the top 10 features were visualized to explain, in plain terms, what most strongly drives predicted delivery time — useful for communicating the model's logic to a non-technical audience (e.g. "delivery time is mostly driven by distance-related and product-weight features").</w:t>
      </w:r>
    </w:p>
    <w:p>
      <w:pPr>
        <w:pStyle w:val="Heading1"/>
        <w:spacing w:after="200" w:before="400"/>
      </w:pPr>
      <w:r>
        <w:t xml:space="preserve">2. Predictive Modeling — Classification</w:t>
      </w:r>
    </w:p>
    <w:p>
      <w:pPr>
        <w:pStyle w:val="Heading2"/>
        <w:spacing w:after="150" w:before="300"/>
      </w:pPr>
      <w:r>
        <w:t xml:space="preserve">Goal: Predict is_late (will this order arrive late?)</w:t>
      </w:r>
    </w:p>
    <w:p>
      <w:pPr>
        <w:spacing w:after="150"/>
      </w:pPr>
      <w:r>
        <w:rPr>
          <w:sz w:val="22"/>
          <w:szCs w:val="22"/>
        </w:rPr>
        <w:t xml:space="preserve">Four classification models were trained to flag orders at risk of arriving late. Only about 8% of orders in the dataset are actually late, so this is an imbalanced classification problem — class_weight="balanced" was applied wherever supported, so models pay extra attention to the rare "late" class instead of ignoring it in favor of the easy majority class.</w:t>
      </w:r>
    </w:p>
    <w:p>
      <w:pPr>
        <w:pStyle w:val="ListParagraph"/>
        <w:numPr>
          <w:ilvl w:val="0"/>
          <w:numId w:val="1"/>
        </w:numPr>
        <w:spacing w:after="80"/>
      </w:pPr>
      <w:r>
        <w:rPr>
          <w:sz w:val="22"/>
          <w:szCs w:val="22"/>
        </w:rPr>
        <w:t xml:space="preserve">Logistic Regression — simple, interpretable linear baseline for classification</w:t>
      </w:r>
    </w:p>
    <w:p>
      <w:pPr>
        <w:pStyle w:val="ListParagraph"/>
        <w:numPr>
          <w:ilvl w:val="0"/>
          <w:numId w:val="1"/>
        </w:numPr>
        <w:spacing w:after="80"/>
      </w:pPr>
      <w:r>
        <w:rPr>
          <w:sz w:val="22"/>
          <w:szCs w:val="22"/>
        </w:rPr>
        <w:t xml:space="preserve">Decision Tree — splits data into yes/no rules, easy to visualize and interpret</w:t>
      </w:r>
    </w:p>
    <w:p>
      <w:pPr>
        <w:pStyle w:val="ListParagraph"/>
        <w:numPr>
          <w:ilvl w:val="0"/>
          <w:numId w:val="1"/>
        </w:numPr>
        <w:spacing w:after="80"/>
      </w:pPr>
      <w:r>
        <w:rPr>
          <w:sz w:val="22"/>
          <w:szCs w:val="22"/>
        </w:rPr>
        <w:t xml:space="preserve">Random Forest — an ensemble of many decision trees, usually more accurate and stable</w:t>
      </w:r>
    </w:p>
    <w:p>
      <w:pPr>
        <w:pStyle w:val="ListParagraph"/>
        <w:numPr>
          <w:ilvl w:val="0"/>
          <w:numId w:val="1"/>
        </w:numPr>
        <w:spacing w:after="80"/>
      </w:pPr>
      <w:r>
        <w:rPr>
          <w:sz w:val="22"/>
          <w:szCs w:val="22"/>
        </w:rPr>
        <w:t xml:space="preserve">KNN (K-Nearest Neighbors) — classifies an order based on the "closest" similar historical orders</w:t>
      </w:r>
    </w:p>
    <w:p>
      <w:pPr>
        <w:spacing w:after="150"/>
      </w:pPr>
      <w:r>
        <w:rPr>
          <w:sz w:val="22"/>
          <w:szCs w:val="22"/>
        </w:rPr>
        <w:t xml:space="preserve">Models are judged on 5 metrics: Accuracy, Precision, Recall, F1 Score, and ROC-AUC (defined as: of orders predicted late, how many really were; of orders that were really late, how many were caught; the balance between the two; and how well the model ranks late orders as riskier across all thresholds, respectively).</w:t>
      </w:r>
    </w:p>
    <w:p>
      <w:pPr>
        <w:pStyle w:val="Heading3"/>
        <w:spacing w:after="100" w:before="200"/>
      </w:pPr>
      <w:r>
        <w:t xml:space="preserve">Classification Model Comparison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300"/>
        <w:gridCol w:w="1100"/>
        <w:gridCol w:w="1400"/>
      </w:tblGrid>
      <w:tr>
        <w:trPr>
          <w:tblHeader/>
        </w:trPr>
        <w:tc>
          <w:tcPr>
            <w:tcW w:type="dxa" w:w="2600"/>
            <w:shd w:fill="2F5496" w:color="auto" w:val="clear"/>
          </w:tcPr>
          <w:p>
            <w:pPr>
              <w:jc w:val="center"/>
            </w:pPr>
            <w:r>
              <w:rPr>
                <w:b/>
                <w:bCs/>
                <w:color w:val="FFFFFF"/>
                <w:sz w:val="21"/>
                <w:szCs w:val="21"/>
              </w:rPr>
              <w:t xml:space="preserve">Model</w:t>
            </w:r>
          </w:p>
        </w:tc>
        <w:tc>
          <w:tcPr>
            <w:tcW w:type="dxa" w:w="1500"/>
            <w:shd w:fill="2F5496" w:color="auto" w:val="clear"/>
          </w:tcPr>
          <w:p>
            <w:pPr>
              <w:jc w:val="center"/>
            </w:pPr>
            <w:r>
              <w:rPr>
                <w:b/>
                <w:bCs/>
                <w:color w:val="FFFFFF"/>
                <w:sz w:val="21"/>
                <w:szCs w:val="21"/>
              </w:rPr>
              <w:t xml:space="preserve">Accuracy</w:t>
            </w:r>
          </w:p>
        </w:tc>
        <w:tc>
          <w:tcPr>
            <w:tcW w:type="dxa" w:w="1500"/>
            <w:shd w:fill="2F5496" w:color="auto" w:val="clear"/>
          </w:tcPr>
          <w:p>
            <w:pPr>
              <w:jc w:val="center"/>
            </w:pPr>
            <w:r>
              <w:rPr>
                <w:b/>
                <w:bCs/>
                <w:color w:val="FFFFFF"/>
                <w:sz w:val="21"/>
                <w:szCs w:val="21"/>
              </w:rPr>
              <w:t xml:space="preserve">Precision</w:t>
            </w:r>
          </w:p>
        </w:tc>
        <w:tc>
          <w:tcPr>
            <w:tcW w:type="dxa" w:w="1300"/>
            <w:shd w:fill="2F5496" w:color="auto" w:val="clear"/>
          </w:tcPr>
          <w:p>
            <w:pPr>
              <w:jc w:val="center"/>
            </w:pPr>
            <w:r>
              <w:rPr>
                <w:b/>
                <w:bCs/>
                <w:color w:val="FFFFFF"/>
                <w:sz w:val="21"/>
                <w:szCs w:val="21"/>
              </w:rPr>
              <w:t xml:space="preserve">Recall</w:t>
            </w:r>
          </w:p>
        </w:tc>
        <w:tc>
          <w:tcPr>
            <w:tcW w:type="dxa" w:w="1100"/>
            <w:shd w:fill="2F5496" w:color="auto" w:val="clear"/>
          </w:tcPr>
          <w:p>
            <w:pPr>
              <w:jc w:val="center"/>
            </w:pPr>
            <w:r>
              <w:rPr>
                <w:b/>
                <w:bCs/>
                <w:color w:val="FFFFFF"/>
                <w:sz w:val="21"/>
                <w:szCs w:val="21"/>
              </w:rPr>
              <w:t xml:space="preserve">F1</w:t>
            </w:r>
          </w:p>
        </w:tc>
        <w:tc>
          <w:tcPr>
            <w:tcW w:type="dxa" w:w="1400"/>
            <w:shd w:fill="2F5496" w:color="auto" w:val="clear"/>
          </w:tcPr>
          <w:p>
            <w:pPr>
              <w:jc w:val="center"/>
            </w:pPr>
            <w:r>
              <w:rPr>
                <w:b/>
                <w:bCs/>
                <w:color w:val="FFFFFF"/>
                <w:sz w:val="21"/>
                <w:szCs w:val="21"/>
              </w:rPr>
              <w:t xml:space="preserve">ROC-AUC</w:t>
            </w:r>
          </w:p>
        </w:tc>
      </w:tr>
      <w:tr>
        <w:tc>
          <w:tcPr>
            <w:tcW w:type="dxa" w:w="2600"/>
          </w:tcPr>
          <w:p>
            <w:pPr>
              <w:jc w:val="left"/>
            </w:pPr>
            <w:r>
              <w:rPr>
                <w:b w:val="false"/>
                <w:bCs w:val="false"/>
                <w:sz w:val="21"/>
                <w:szCs w:val="21"/>
              </w:rPr>
              <w:t xml:space="preserve">Random Forest</w:t>
            </w:r>
          </w:p>
        </w:tc>
        <w:tc>
          <w:tcPr>
            <w:tcW w:type="dxa" w:w="1500"/>
          </w:tcPr>
          <w:p>
            <w:pPr>
              <w:jc w:val="center"/>
            </w:pPr>
            <w:r>
              <w:rPr>
                <w:b w:val="false"/>
                <w:bCs w:val="false"/>
                <w:sz w:val="21"/>
                <w:szCs w:val="21"/>
              </w:rPr>
              <w:t xml:space="preserve">0.907</w:t>
            </w:r>
          </w:p>
        </w:tc>
        <w:tc>
          <w:tcPr>
            <w:tcW w:type="dxa" w:w="1500"/>
            <w:shd w:fill="C6EFCE" w:color="auto" w:val="clear"/>
          </w:tcPr>
          <w:p>
            <w:pPr>
              <w:jc w:val="center"/>
            </w:pPr>
            <w:r>
              <w:rPr>
                <w:b w:val="false"/>
                <w:bCs w:val="false"/>
                <w:sz w:val="21"/>
                <w:szCs w:val="21"/>
              </w:rPr>
              <w:t xml:space="preserve">0.352</w:t>
            </w:r>
          </w:p>
        </w:tc>
        <w:tc>
          <w:tcPr>
            <w:tcW w:type="dxa" w:w="1300"/>
          </w:tcPr>
          <w:p>
            <w:pPr>
              <w:jc w:val="center"/>
            </w:pPr>
            <w:r>
              <w:rPr>
                <w:b w:val="false"/>
                <w:bCs w:val="false"/>
                <w:sz w:val="21"/>
                <w:szCs w:val="21"/>
              </w:rPr>
              <w:t xml:space="preserve">0.202</w:t>
            </w:r>
          </w:p>
        </w:tc>
        <w:tc>
          <w:tcPr>
            <w:tcW w:type="dxa" w:w="1100"/>
            <w:shd w:fill="C6EFCE" w:color="auto" w:val="clear"/>
          </w:tcPr>
          <w:p>
            <w:pPr>
              <w:jc w:val="center"/>
            </w:pPr>
            <w:r>
              <w:rPr>
                <w:b w:val="false"/>
                <w:bCs w:val="false"/>
                <w:sz w:val="21"/>
                <w:szCs w:val="21"/>
              </w:rPr>
              <w:t xml:space="preserve">0.257</w:t>
            </w:r>
          </w:p>
        </w:tc>
        <w:tc>
          <w:tcPr>
            <w:tcW w:type="dxa" w:w="1400"/>
            <w:shd w:fill="C6EFCE" w:color="auto" w:val="clear"/>
          </w:tcPr>
          <w:p>
            <w:pPr>
              <w:jc w:val="center"/>
            </w:pPr>
            <w:r>
              <w:rPr>
                <w:b w:val="false"/>
                <w:bCs w:val="false"/>
                <w:sz w:val="21"/>
                <w:szCs w:val="21"/>
              </w:rPr>
              <w:t xml:space="preserve">0.756</w:t>
            </w:r>
          </w:p>
        </w:tc>
      </w:tr>
      <w:tr>
        <w:tc>
          <w:tcPr>
            <w:tcW w:type="dxa" w:w="2600"/>
          </w:tcPr>
          <w:p>
            <w:pPr>
              <w:jc w:val="left"/>
            </w:pPr>
            <w:r>
              <w:rPr>
                <w:b w:val="false"/>
                <w:bCs w:val="false"/>
                <w:sz w:val="21"/>
                <w:szCs w:val="21"/>
              </w:rPr>
              <w:t xml:space="preserve">Logistic Regression</w:t>
            </w:r>
          </w:p>
        </w:tc>
        <w:tc>
          <w:tcPr>
            <w:tcW w:type="dxa" w:w="1500"/>
          </w:tcPr>
          <w:p>
            <w:pPr>
              <w:jc w:val="center"/>
            </w:pPr>
            <w:r>
              <w:rPr>
                <w:b w:val="false"/>
                <w:bCs w:val="false"/>
                <w:sz w:val="21"/>
                <w:szCs w:val="21"/>
              </w:rPr>
              <w:t xml:space="preserve">0.631</w:t>
            </w:r>
          </w:p>
        </w:tc>
        <w:tc>
          <w:tcPr>
            <w:tcW w:type="dxa" w:w="1500"/>
          </w:tcPr>
          <w:p>
            <w:pPr>
              <w:jc w:val="center"/>
            </w:pPr>
            <w:r>
              <w:rPr>
                <w:b w:val="false"/>
                <w:bCs w:val="false"/>
                <w:sz w:val="21"/>
                <w:szCs w:val="21"/>
              </w:rPr>
              <w:t xml:space="preserve">0.131</w:t>
            </w:r>
          </w:p>
        </w:tc>
        <w:tc>
          <w:tcPr>
            <w:tcW w:type="dxa" w:w="1300"/>
            <w:shd w:fill="C6EFCE" w:color="auto" w:val="clear"/>
          </w:tcPr>
          <w:p>
            <w:pPr>
              <w:jc w:val="center"/>
            </w:pPr>
            <w:r>
              <w:rPr>
                <w:b w:val="false"/>
                <w:bCs w:val="false"/>
                <w:sz w:val="21"/>
                <w:szCs w:val="21"/>
              </w:rPr>
              <w:t xml:space="preserve">0.646</w:t>
            </w:r>
          </w:p>
        </w:tc>
        <w:tc>
          <w:tcPr>
            <w:tcW w:type="dxa" w:w="1100"/>
          </w:tcPr>
          <w:p>
            <w:pPr>
              <w:jc w:val="center"/>
            </w:pPr>
            <w:r>
              <w:rPr>
                <w:b w:val="false"/>
                <w:bCs w:val="false"/>
                <w:sz w:val="21"/>
                <w:szCs w:val="21"/>
              </w:rPr>
              <w:t xml:space="preserve">0.217</w:t>
            </w:r>
          </w:p>
        </w:tc>
        <w:tc>
          <w:tcPr>
            <w:tcW w:type="dxa" w:w="1400"/>
          </w:tcPr>
          <w:p>
            <w:pPr>
              <w:jc w:val="center"/>
            </w:pPr>
            <w:r>
              <w:rPr>
                <w:b w:val="false"/>
                <w:bCs w:val="false"/>
                <w:sz w:val="21"/>
                <w:szCs w:val="21"/>
              </w:rPr>
              <w:t xml:space="preserve">0.688</w:t>
            </w:r>
          </w:p>
        </w:tc>
      </w:tr>
      <w:tr>
        <w:tc>
          <w:tcPr>
            <w:tcW w:type="dxa" w:w="2600"/>
          </w:tcPr>
          <w:p>
            <w:pPr>
              <w:jc w:val="left"/>
            </w:pPr>
            <w:r>
              <w:rPr>
                <w:b w:val="false"/>
                <w:bCs w:val="false"/>
                <w:sz w:val="21"/>
                <w:szCs w:val="21"/>
              </w:rPr>
              <w:t xml:space="preserve">KNN</w:t>
            </w:r>
          </w:p>
        </w:tc>
        <w:tc>
          <w:tcPr>
            <w:tcW w:type="dxa" w:w="1500"/>
            <w:shd w:fill="C6EFCE" w:color="auto" w:val="clear"/>
          </w:tcPr>
          <w:p>
            <w:pPr>
              <w:jc w:val="center"/>
            </w:pPr>
            <w:r>
              <w:rPr>
                <w:b w:val="false"/>
                <w:bCs w:val="false"/>
                <w:sz w:val="21"/>
                <w:szCs w:val="21"/>
              </w:rPr>
              <w:t xml:space="preserve">0.914</w:t>
            </w:r>
          </w:p>
        </w:tc>
        <w:tc>
          <w:tcPr>
            <w:tcW w:type="dxa" w:w="1500"/>
          </w:tcPr>
          <w:p>
            <w:pPr>
              <w:jc w:val="center"/>
            </w:pPr>
            <w:r>
              <w:rPr>
                <w:b w:val="false"/>
                <w:bCs w:val="false"/>
                <w:sz w:val="21"/>
                <w:szCs w:val="21"/>
              </w:rPr>
              <w:t xml:space="preserve">0.344</w:t>
            </w:r>
          </w:p>
        </w:tc>
        <w:tc>
          <w:tcPr>
            <w:tcW w:type="dxa" w:w="1300"/>
          </w:tcPr>
          <w:p>
            <w:pPr>
              <w:jc w:val="center"/>
            </w:pPr>
            <w:r>
              <w:rPr>
                <w:b w:val="false"/>
                <w:bCs w:val="false"/>
                <w:sz w:val="21"/>
                <w:szCs w:val="21"/>
              </w:rPr>
              <w:t xml:space="preserve">0.085</w:t>
            </w:r>
          </w:p>
        </w:tc>
        <w:tc>
          <w:tcPr>
            <w:tcW w:type="dxa" w:w="1100"/>
          </w:tcPr>
          <w:p>
            <w:pPr>
              <w:jc w:val="center"/>
            </w:pPr>
            <w:r>
              <w:rPr>
                <w:b w:val="false"/>
                <w:bCs w:val="false"/>
                <w:sz w:val="21"/>
                <w:szCs w:val="21"/>
              </w:rPr>
              <w:t xml:space="preserve">0.136</w:t>
            </w:r>
          </w:p>
        </w:tc>
        <w:tc>
          <w:tcPr>
            <w:tcW w:type="dxa" w:w="1400"/>
          </w:tcPr>
          <w:p>
            <w:pPr>
              <w:jc w:val="center"/>
            </w:pPr>
            <w:r>
              <w:rPr>
                <w:b w:val="false"/>
                <w:bCs w:val="false"/>
                <w:sz w:val="21"/>
                <w:szCs w:val="21"/>
              </w:rPr>
              <w:t xml:space="preserve">0.651</w:t>
            </w:r>
          </w:p>
        </w:tc>
      </w:tr>
      <w:tr>
        <w:tc>
          <w:tcPr>
            <w:tcW w:type="dxa" w:w="2600"/>
          </w:tcPr>
          <w:p>
            <w:pPr>
              <w:jc w:val="left"/>
            </w:pPr>
            <w:r>
              <w:rPr>
                <w:b w:val="false"/>
                <w:bCs w:val="false"/>
                <w:sz w:val="21"/>
                <w:szCs w:val="21"/>
              </w:rPr>
              <w:t xml:space="preserve">Decision Tree</w:t>
            </w:r>
          </w:p>
        </w:tc>
        <w:tc>
          <w:tcPr>
            <w:tcW w:type="dxa" w:w="1500"/>
          </w:tcPr>
          <w:p>
            <w:pPr>
              <w:jc w:val="center"/>
            </w:pPr>
            <w:r>
              <w:rPr>
                <w:b w:val="false"/>
                <w:bCs w:val="false"/>
                <w:sz w:val="21"/>
                <w:szCs w:val="21"/>
              </w:rPr>
              <w:t xml:space="preserve">0.873</w:t>
            </w:r>
          </w:p>
        </w:tc>
        <w:tc>
          <w:tcPr>
            <w:tcW w:type="dxa" w:w="1500"/>
          </w:tcPr>
          <w:p>
            <w:pPr>
              <w:jc w:val="center"/>
            </w:pPr>
            <w:r>
              <w:rPr>
                <w:b w:val="false"/>
                <w:bCs w:val="false"/>
                <w:sz w:val="21"/>
                <w:szCs w:val="21"/>
              </w:rPr>
              <w:t xml:space="preserve">0.200</w:t>
            </w:r>
          </w:p>
        </w:tc>
        <w:tc>
          <w:tcPr>
            <w:tcW w:type="dxa" w:w="1300"/>
          </w:tcPr>
          <w:p>
            <w:pPr>
              <w:jc w:val="center"/>
            </w:pPr>
            <w:r>
              <w:rPr>
                <w:b w:val="false"/>
                <w:bCs w:val="false"/>
                <w:sz w:val="21"/>
                <w:szCs w:val="21"/>
              </w:rPr>
              <w:t xml:space="preserve">0.200</w:t>
            </w:r>
          </w:p>
        </w:tc>
        <w:tc>
          <w:tcPr>
            <w:tcW w:type="dxa" w:w="1100"/>
          </w:tcPr>
          <w:p>
            <w:pPr>
              <w:jc w:val="center"/>
            </w:pPr>
            <w:r>
              <w:rPr>
                <w:b w:val="false"/>
                <w:bCs w:val="false"/>
                <w:sz w:val="21"/>
                <w:szCs w:val="21"/>
              </w:rPr>
              <w:t xml:space="preserve">0.200</w:t>
            </w:r>
          </w:p>
        </w:tc>
        <w:tc>
          <w:tcPr>
            <w:tcW w:type="dxa" w:w="1400"/>
          </w:tcPr>
          <w:p>
            <w:pPr>
              <w:jc w:val="center"/>
            </w:pPr>
            <w:r>
              <w:rPr>
                <w:b w:val="false"/>
                <w:bCs w:val="false"/>
                <w:sz w:val="21"/>
                <w:szCs w:val="21"/>
              </w:rPr>
              <w:t xml:space="preserve">0.565</w:t>
            </w:r>
          </w:p>
        </w:tc>
      </w:tr>
    </w:tbl>
    <w:p>
      <w:pPr>
        <w:spacing w:after="200"/>
      </w:pPr>
    </w:p>
    <w:p>
      <w:pPr>
        <w:pBdr>
          <w:left w:val="single" w:color="2F5496" w:sz="20"/>
        </w:pBdr>
        <w:shd w:fill="F2F2F2" w:color="auto" w:val="clear"/>
        <w:spacing w:after="200"/>
        <w:ind w:left="200"/>
      </w:pPr>
      <w:r>
        <w:rPr>
          <w:i/>
          <w:iCs/>
          <w:sz w:val="21"/>
          <w:szCs w:val="21"/>
        </w:rPr>
        <w:t xml:space="preserve">KNN posts the highest raw accuracy (0.914) and a competitive precision, but achieves this mostly by predicting the easy majority class — its recall is the worst of the four models (0.085), meaning it catches almost none of the genuinely late orders. High accuracy on an imbalanced target like this one is not, by itself, evidence of a good model.</w:t>
      </w:r>
    </w:p>
    <w:p>
      <w:pPr>
        <w:pStyle w:val="Heading3"/>
        <w:spacing w:after="100" w:before="200"/>
      </w:pPr>
      <w:r>
        <w:t xml:space="preserve">Best Model Justification — A Nuanced Call</w:t>
      </w:r>
    </w:p>
    <w:p>
      <w:pPr>
        <w:spacing w:after="150"/>
      </w:pPr>
      <w:r>
        <w:rPr>
          <w:sz w:val="22"/>
          <w:szCs w:val="22"/>
        </w:rPr>
        <w:t xml:space="preserve">This one is worth stating carefully instead of just picking the top row of the table:</w:t>
      </w:r>
    </w:p>
    <w:p>
      <w:pPr>
        <w:pStyle w:val="ListParagraph"/>
        <w:numPr>
          <w:ilvl w:val="0"/>
          <w:numId w:val="1"/>
        </w:numPr>
        <w:spacing w:after="80"/>
      </w:pPr>
      <w:r>
        <w:rPr>
          <w:sz w:val="22"/>
          <w:szCs w:val="22"/>
        </w:rPr>
        <w:t xml:space="preserve">Random Forest gets the best Accuracy and ROC-AUC, but even with class_weight="balanced", it still catches relatively few actual late orders (low recall = 0.202). It's cautious about flagging "late," which keeps overall accuracy high but misses real problem orders.</w:t>
      </w:r>
    </w:p>
    <w:p>
      <w:pPr>
        <w:pStyle w:val="ListParagraph"/>
        <w:numPr>
          <w:ilvl w:val="0"/>
          <w:numId w:val="1"/>
        </w:numPr>
        <w:spacing w:after="80"/>
      </w:pPr>
      <w:r>
        <w:rPr>
          <w:sz w:val="22"/>
          <w:szCs w:val="22"/>
        </w:rPr>
        <w:t xml:space="preserve">Logistic Regression has much lower accuracy, but noticeably higher recall (0.646) — it flags more orders as at-risk-of-being-late, catching more genuine late deliveries at the cost of more false alarms.</w:t>
      </w:r>
    </w:p>
    <w:p>
      <w:pPr>
        <w:spacing w:after="150"/>
      </w:pPr>
      <w:r>
        <w:rPr>
          <w:b/>
          <w:bCs/>
          <w:sz w:val="22"/>
          <w:szCs w:val="22"/>
        </w:rPr>
        <w:t xml:space="preserve">Which one is "best" genuinely depends on the business goal: </w:t>
      </w:r>
      <w:r>
        <w:rPr>
          <w:sz w:val="22"/>
          <w:szCs w:val="22"/>
        </w:rPr>
        <w:t xml:space="preserve">if the cost of a missed late delivery is high (e.g. proactively warning customers or expediting shipping), Logistic Regression's higher recall is more valuable. If the goal is a high-confidence, low-noise ranking of risk (e.g. feeding a downstream system that can't tolerate many false alarms), Random Forest's higher ROC-AUC and precision are preferable.</w:t>
      </w:r>
    </w:p>
    <w:p>
      <w:pPr>
        <w:pStyle w:val="Heading3"/>
        <w:spacing w:after="100" w:before="200"/>
      </w:pPr>
      <w:r>
        <w:t xml:space="preserve">Confusion Matrices &amp; Feature Importance</w:t>
      </w:r>
    </w:p>
    <w:p>
      <w:pPr>
        <w:spacing w:after="150"/>
      </w:pPr>
      <w:r>
        <w:rPr>
          <w:sz w:val="22"/>
          <w:szCs w:val="22"/>
        </w:rPr>
        <w:t xml:space="preserve">Confusion matrices for all four classifiers were plotted side by side to show exactly where each model's predictions went right or wrong (correctly predicted on-time vs. late, and the two types of mistakes). Random Forest's feature importances were also visualized to show the top 10 features driving the is_late prediction, alongside the regression feature importances, for a direct side-by-side comparison of what drives delivery time vs. what drives lateness risk.</w:t>
      </w:r>
    </w:p>
    <w:p>
      <w:pPr>
        <w:pStyle w:val="Heading1"/>
        <w:spacing w:after="200" w:before="400"/>
      </w:pPr>
      <w:r>
        <w:t xml:space="preserve">3. Customer Segmentation — Clustering</w:t>
      </w:r>
    </w:p>
    <w:p>
      <w:pPr>
        <w:spacing w:after="150"/>
      </w:pPr>
      <w:r>
        <w:rPr>
          <w:sz w:val="22"/>
          <w:szCs w:val="22"/>
        </w:rPr>
        <w:t xml:space="preserve">This pillar groups customers into meaningful segments using unsupervised learning (no target label — the algorithm finds structure in the data on its own).</w:t>
      </w:r>
    </w:p>
    <w:p>
      <w:pPr>
        <w:pStyle w:val="Heading2"/>
        <w:spacing w:after="150" w:before="300"/>
      </w:pPr>
      <w:r>
        <w:t xml:space="preserve">Design Decisions</w:t>
      </w:r>
    </w:p>
    <w:p>
      <w:pPr>
        <w:pStyle w:val="ListParagraph"/>
        <w:numPr>
          <w:ilvl w:val="0"/>
          <w:numId w:val="1"/>
        </w:numPr>
        <w:spacing w:after="80"/>
      </w:pPr>
      <w:r>
        <w:rPr>
          <w:sz w:val="22"/>
          <w:szCs w:val="22"/>
        </w:rPr>
        <w:t xml:space="preserve">Segmentation is done on customer_unique_id, not customer_id — in this dataset, customer_id is generated per order, so the same real shopper re-ordering would otherwise show up as a different "customer" each time.</w:t>
      </w:r>
    </w:p>
    <w:p>
      <w:pPr>
        <w:pStyle w:val="ListParagraph"/>
        <w:numPr>
          <w:ilvl w:val="0"/>
          <w:numId w:val="1"/>
        </w:numPr>
        <w:spacing w:after="80"/>
      </w:pPr>
      <w:r>
        <w:rPr>
          <w:sz w:val="22"/>
          <w:szCs w:val="22"/>
        </w:rPr>
        <w:t xml:space="preserve">Features use a classic RFM (Recency, Frequency, Monetary) approach, extended with two Olist-specific signals: avg_review_score (satisfaction proxy) and avg_delivery_days (logistics-experience proxy).</w:t>
      </w:r>
    </w:p>
    <w:p>
      <w:pPr>
        <w:pBdr>
          <w:left w:val="single" w:color="2F5496" w:sz="20"/>
        </w:pBdr>
        <w:shd w:fill="F2F2F2" w:color="auto" w:val="clear"/>
        <w:spacing w:after="200"/>
        <w:ind w:left="200"/>
      </w:pPr>
      <w:r>
        <w:rPr>
          <w:i/>
          <w:iCs/>
          <w:sz w:val="21"/>
          <w:szCs w:val="21"/>
        </w:rPr>
        <w:t xml:space="preserve">A real quirk of this dataset: about 97% of customers have placed only a single order. This is documented and expected, not a bug — it means frequency doesn't do much heavy lifting in the segments, which mostly separate customers by spending, satisfaction, and delivery experience instead.</w:t>
      </w:r>
    </w:p>
    <w:p>
      <w:pPr>
        <w:pStyle w:val="Heading2"/>
        <w:spacing w:after="150" w:before="300"/>
      </w:pPr>
      <w:r>
        <w:t xml:space="preserve">3.1 KMeans Clustering</w:t>
      </w:r>
    </w:p>
    <w:p>
      <w:pPr>
        <w:spacing w:after="150"/>
      </w:pPr>
      <w:r>
        <w:rPr>
          <w:sz w:val="22"/>
          <w:szCs w:val="22"/>
        </w:rPr>
        <w:t xml:space="preserve">k = 2 through 7 was tested, tracking both Inertia (elbow method) and Silhouette Score (cluster separation quality, computed on a 5,000-point sample for speed):</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tblGrid>
      <w:tr>
        <w:trPr>
          <w:tblHeader/>
        </w:trPr>
        <w:tc>
          <w:tcPr>
            <w:tcW w:type="dxa" w:w="1500"/>
            <w:shd w:fill="2F5496" w:color="auto" w:val="clear"/>
          </w:tcPr>
          <w:p>
            <w:pPr>
              <w:jc w:val="center"/>
            </w:pPr>
            <w:r>
              <w:rPr>
                <w:b/>
                <w:bCs/>
                <w:color w:val="FFFFFF"/>
                <w:sz w:val="21"/>
                <w:szCs w:val="21"/>
              </w:rPr>
              <w:t xml:space="preserve">k</w:t>
            </w:r>
          </w:p>
        </w:tc>
        <w:tc>
          <w:tcPr>
            <w:tcW w:type="dxa" w:w="2500"/>
            <w:shd w:fill="2F5496" w:color="auto" w:val="clear"/>
          </w:tcPr>
          <w:p>
            <w:pPr>
              <w:jc w:val="center"/>
            </w:pPr>
            <w:r>
              <w:rPr>
                <w:b/>
                <w:bCs/>
                <w:color w:val="FFFFFF"/>
                <w:sz w:val="21"/>
                <w:szCs w:val="21"/>
              </w:rPr>
              <w:t xml:space="preserve">Inertia</w:t>
            </w:r>
          </w:p>
        </w:tc>
        <w:tc>
          <w:tcPr>
            <w:tcW w:type="dxa" w:w="2500"/>
            <w:shd w:fill="2F5496" w:color="auto" w:val="clear"/>
          </w:tcPr>
          <w:p>
            <w:pPr>
              <w:jc w:val="center"/>
            </w:pPr>
            <w:r>
              <w:rPr>
                <w:b/>
                <w:bCs/>
                <w:color w:val="FFFFFF"/>
                <w:sz w:val="21"/>
                <w:szCs w:val="21"/>
              </w:rPr>
              <w:t xml:space="preserve">Silhouette Score</w:t>
            </w:r>
          </w:p>
        </w:tc>
      </w:tr>
      <w:tr>
        <w:tc>
          <w:tcPr>
            <w:tcW w:type="dxa" w:w="1500"/>
          </w:tcPr>
          <w:p>
            <w:pPr>
              <w:jc w:val="left"/>
            </w:pPr>
            <w:r>
              <w:rPr>
                <w:b w:val="false"/>
                <w:bCs w:val="false"/>
                <w:sz w:val="21"/>
                <w:szCs w:val="21"/>
              </w:rPr>
              <w:t xml:space="preserve">2</w:t>
            </w:r>
          </w:p>
        </w:tc>
        <w:tc>
          <w:tcPr>
            <w:tcW w:type="dxa" w:w="2500"/>
          </w:tcPr>
          <w:p>
            <w:pPr>
              <w:jc w:val="center"/>
            </w:pPr>
            <w:r>
              <w:rPr>
                <w:b w:val="false"/>
                <w:bCs w:val="false"/>
                <w:sz w:val="21"/>
                <w:szCs w:val="21"/>
              </w:rPr>
              <w:t xml:space="preserve">376,874</w:t>
            </w:r>
          </w:p>
        </w:tc>
        <w:tc>
          <w:tcPr>
            <w:tcW w:type="dxa" w:w="2500"/>
          </w:tcPr>
          <w:p>
            <w:pPr>
              <w:jc w:val="center"/>
            </w:pPr>
            <w:r>
              <w:rPr>
                <w:b w:val="false"/>
                <w:bCs w:val="false"/>
                <w:sz w:val="21"/>
                <w:szCs w:val="21"/>
              </w:rPr>
              <w:t xml:space="preserve">0.5946</w:t>
            </w:r>
          </w:p>
        </w:tc>
      </w:tr>
      <w:tr>
        <w:tc>
          <w:tcPr>
            <w:tcW w:type="dxa" w:w="1500"/>
          </w:tcPr>
          <w:p>
            <w:pPr>
              <w:jc w:val="left"/>
            </w:pPr>
            <w:r>
              <w:rPr>
                <w:b w:val="false"/>
                <w:bCs w:val="false"/>
                <w:sz w:val="21"/>
                <w:szCs w:val="21"/>
              </w:rPr>
              <w:t xml:space="preserve">3</w:t>
            </w:r>
          </w:p>
        </w:tc>
        <w:tc>
          <w:tcPr>
            <w:tcW w:type="dxa" w:w="2500"/>
          </w:tcPr>
          <w:p>
            <w:pPr>
              <w:jc w:val="center"/>
            </w:pPr>
            <w:r>
              <w:rPr>
                <w:b w:val="false"/>
                <w:bCs w:val="false"/>
                <w:sz w:val="21"/>
                <w:szCs w:val="21"/>
              </w:rPr>
              <w:t xml:space="preserve">291,861</w:t>
            </w:r>
          </w:p>
        </w:tc>
        <w:tc>
          <w:tcPr>
            <w:tcW w:type="dxa" w:w="2500"/>
          </w:tcPr>
          <w:p>
            <w:pPr>
              <w:jc w:val="center"/>
            </w:pPr>
            <w:r>
              <w:rPr>
                <w:b w:val="false"/>
                <w:bCs w:val="false"/>
                <w:sz w:val="21"/>
                <w:szCs w:val="21"/>
              </w:rPr>
              <w:t xml:space="preserve">0.3633</w:t>
            </w:r>
          </w:p>
        </w:tc>
      </w:tr>
      <w:tr>
        <w:tc>
          <w:tcPr>
            <w:tcW w:type="dxa" w:w="1500"/>
          </w:tcPr>
          <w:p>
            <w:pPr>
              <w:jc w:val="left"/>
            </w:pPr>
            <w:r>
              <w:rPr>
                <w:b w:val="false"/>
                <w:bCs w:val="false"/>
                <w:sz w:val="21"/>
                <w:szCs w:val="21"/>
              </w:rPr>
              <w:t xml:space="preserve">4</w:t>
            </w:r>
          </w:p>
        </w:tc>
        <w:tc>
          <w:tcPr>
            <w:tcW w:type="dxa" w:w="2500"/>
          </w:tcPr>
          <w:p>
            <w:pPr>
              <w:jc w:val="center"/>
            </w:pPr>
            <w:r>
              <w:rPr>
                <w:b w:val="false"/>
                <w:bCs w:val="false"/>
                <w:sz w:val="21"/>
                <w:szCs w:val="21"/>
              </w:rPr>
              <w:t xml:space="preserve">234,699</w:t>
            </w:r>
          </w:p>
        </w:tc>
        <w:tc>
          <w:tcPr>
            <w:tcW w:type="dxa" w:w="2500"/>
          </w:tcPr>
          <w:p>
            <w:pPr>
              <w:jc w:val="center"/>
            </w:pPr>
            <w:r>
              <w:rPr>
                <w:b w:val="false"/>
                <w:bCs w:val="false"/>
                <w:sz w:val="21"/>
                <w:szCs w:val="21"/>
              </w:rPr>
              <w:t xml:space="preserve">0.2661</w:t>
            </w:r>
          </w:p>
        </w:tc>
      </w:tr>
      <w:tr>
        <w:tc>
          <w:tcPr>
            <w:tcW w:type="dxa" w:w="1500"/>
          </w:tcPr>
          <w:p>
            <w:pPr>
              <w:jc w:val="left"/>
            </w:pPr>
            <w:r>
              <w:rPr>
                <w:b w:val="false"/>
                <w:bCs w:val="false"/>
                <w:sz w:val="21"/>
                <w:szCs w:val="21"/>
              </w:rPr>
              <w:t xml:space="preserve">5</w:t>
            </w:r>
          </w:p>
        </w:tc>
        <w:tc>
          <w:tcPr>
            <w:tcW w:type="dxa" w:w="2500"/>
          </w:tcPr>
          <w:p>
            <w:pPr>
              <w:jc w:val="center"/>
            </w:pPr>
            <w:r>
              <w:rPr>
                <w:b w:val="false"/>
                <w:bCs w:val="false"/>
                <w:sz w:val="21"/>
                <w:szCs w:val="21"/>
              </w:rPr>
              <w:t xml:space="preserve">201,157</w:t>
            </w:r>
          </w:p>
        </w:tc>
        <w:tc>
          <w:tcPr>
            <w:tcW w:type="dxa" w:w="2500"/>
          </w:tcPr>
          <w:p>
            <w:pPr>
              <w:jc w:val="center"/>
            </w:pPr>
            <w:r>
              <w:rPr>
                <w:b w:val="false"/>
                <w:bCs w:val="false"/>
                <w:sz w:val="21"/>
                <w:szCs w:val="21"/>
              </w:rPr>
              <w:t xml:space="preserve">0.2572</w:t>
            </w:r>
          </w:p>
        </w:tc>
      </w:tr>
      <w:tr>
        <w:tc>
          <w:tcPr>
            <w:tcW w:type="dxa" w:w="1500"/>
          </w:tcPr>
          <w:p>
            <w:pPr>
              <w:jc w:val="left"/>
            </w:pPr>
            <w:r>
              <w:rPr>
                <w:b w:val="false"/>
                <w:bCs w:val="false"/>
                <w:sz w:val="21"/>
                <w:szCs w:val="21"/>
              </w:rPr>
              <w:t xml:space="preserve">6</w:t>
            </w:r>
          </w:p>
        </w:tc>
        <w:tc>
          <w:tcPr>
            <w:tcW w:type="dxa" w:w="2500"/>
          </w:tcPr>
          <w:p>
            <w:pPr>
              <w:jc w:val="center"/>
            </w:pPr>
            <w:r>
              <w:rPr>
                <w:b w:val="false"/>
                <w:bCs w:val="false"/>
                <w:sz w:val="21"/>
                <w:szCs w:val="21"/>
              </w:rPr>
              <w:t xml:space="preserve">176,864</w:t>
            </w:r>
          </w:p>
        </w:tc>
        <w:tc>
          <w:tcPr>
            <w:tcW w:type="dxa" w:w="2500"/>
          </w:tcPr>
          <w:p>
            <w:pPr>
              <w:jc w:val="center"/>
            </w:pPr>
            <w:r>
              <w:rPr>
                <w:b w:val="false"/>
                <w:bCs w:val="false"/>
                <w:sz w:val="21"/>
                <w:szCs w:val="21"/>
              </w:rPr>
              <w:t xml:space="preserve">0.2662</w:t>
            </w:r>
          </w:p>
        </w:tc>
      </w:tr>
      <w:tr>
        <w:tc>
          <w:tcPr>
            <w:tcW w:type="dxa" w:w="1500"/>
          </w:tcPr>
          <w:p>
            <w:pPr>
              <w:jc w:val="left"/>
            </w:pPr>
            <w:r>
              <w:rPr>
                <w:b w:val="false"/>
                <w:bCs w:val="false"/>
                <w:sz w:val="21"/>
                <w:szCs w:val="21"/>
              </w:rPr>
              <w:t xml:space="preserve">7</w:t>
            </w:r>
          </w:p>
        </w:tc>
        <w:tc>
          <w:tcPr>
            <w:tcW w:type="dxa" w:w="2500"/>
          </w:tcPr>
          <w:p>
            <w:pPr>
              <w:jc w:val="center"/>
            </w:pPr>
            <w:r>
              <w:rPr>
                <w:b w:val="false"/>
                <w:bCs w:val="false"/>
                <w:sz w:val="21"/>
                <w:szCs w:val="21"/>
              </w:rPr>
              <w:t xml:space="preserve">163,197</w:t>
            </w:r>
          </w:p>
        </w:tc>
        <w:tc>
          <w:tcPr>
            <w:tcW w:type="dxa" w:w="2500"/>
          </w:tcPr>
          <w:p>
            <w:pPr>
              <w:jc w:val="center"/>
            </w:pPr>
            <w:r>
              <w:rPr>
                <w:b w:val="false"/>
                <w:bCs w:val="false"/>
                <w:sz w:val="21"/>
                <w:szCs w:val="21"/>
              </w:rPr>
              <w:t xml:space="preserve">0.2374</w:t>
            </w:r>
          </w:p>
        </w:tc>
      </w:tr>
    </w:tbl>
    <w:p>
      <w:pPr>
        <w:spacing w:after="200"/>
      </w:pPr>
    </w:p>
    <w:p>
      <w:pPr>
        <w:spacing w:after="150"/>
      </w:pPr>
      <w:r>
        <w:rPr>
          <w:sz w:val="22"/>
          <w:szCs w:val="22"/>
        </w:rPr>
        <w:t xml:space="preserve">The silhouette score is technically highest at k=2 — but that split just separates "ordered more than once" from "ordered exactly once" (97% vs. 3% of customers), which isn't an actionable business segmentation on its own. k=4 sits right at the elbow of the inertia curve and produces four genuinely distinct, useful segments, so k=4 was chosen as final.</w:t>
      </w:r>
    </w:p>
    <w:p>
      <w:pPr>
        <w:pStyle w:val="Heading3"/>
        <w:spacing w:after="100" w:before="200"/>
      </w:pPr>
      <w:r>
        <w:t xml:space="preserve">Final KMeans Segments (k=4)</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1500"/>
        <w:gridCol w:w="1700"/>
        <w:gridCol w:w="1400"/>
        <w:gridCol w:w="1900"/>
      </w:tblGrid>
      <w:tr>
        <w:trPr>
          <w:tblHeader/>
        </w:trPr>
        <w:tc>
          <w:tcPr>
            <w:tcW w:type="dxa" w:w="1300"/>
            <w:shd w:fill="2F5496" w:color="auto" w:val="clear"/>
          </w:tcPr>
          <w:p>
            <w:pPr>
              <w:jc w:val="center"/>
            </w:pPr>
            <w:r>
              <w:rPr>
                <w:b/>
                <w:bCs/>
                <w:color w:val="FFFFFF"/>
                <w:sz w:val="21"/>
                <w:szCs w:val="21"/>
              </w:rPr>
              <w:t xml:space="preserve">Cluster</w:t>
            </w:r>
          </w:p>
        </w:tc>
        <w:tc>
          <w:tcPr>
            <w:tcW w:type="dxa" w:w="1300"/>
            <w:shd w:fill="2F5496" w:color="auto" w:val="clear"/>
          </w:tcPr>
          <w:p>
            <w:pPr>
              <w:jc w:val="center"/>
            </w:pPr>
            <w:r>
              <w:rPr>
                <w:b/>
                <w:bCs/>
                <w:color w:val="FFFFFF"/>
                <w:sz w:val="21"/>
                <w:szCs w:val="21"/>
              </w:rPr>
              <w:t xml:space="preserve">Size</w:t>
            </w:r>
          </w:p>
        </w:tc>
        <w:tc>
          <w:tcPr>
            <w:tcW w:type="dxa" w:w="1700"/>
            <w:shd w:fill="2F5496" w:color="auto" w:val="clear"/>
          </w:tcPr>
          <w:p>
            <w:pPr>
              <w:jc w:val="center"/>
            </w:pPr>
            <w:r>
              <w:rPr>
                <w:b/>
                <w:bCs/>
                <w:color w:val="FFFFFF"/>
                <w:sz w:val="21"/>
                <w:szCs w:val="21"/>
              </w:rPr>
              <w:t xml:space="preserve">Recency (days)</w:t>
            </w:r>
          </w:p>
        </w:tc>
        <w:tc>
          <w:tcPr>
            <w:tcW w:type="dxa" w:w="1500"/>
            <w:shd w:fill="2F5496" w:color="auto" w:val="clear"/>
          </w:tcPr>
          <w:p>
            <w:pPr>
              <w:jc w:val="center"/>
            </w:pPr>
            <w:r>
              <w:rPr>
                <w:b/>
                <w:bCs/>
                <w:color w:val="FFFFFF"/>
                <w:sz w:val="21"/>
                <w:szCs w:val="21"/>
              </w:rPr>
              <w:t xml:space="preserve">Frequency</w:t>
            </w:r>
          </w:p>
        </w:tc>
        <w:tc>
          <w:tcPr>
            <w:tcW w:type="dxa" w:w="1700"/>
            <w:shd w:fill="2F5496" w:color="auto" w:val="clear"/>
          </w:tcPr>
          <w:p>
            <w:pPr>
              <w:jc w:val="center"/>
            </w:pPr>
            <w:r>
              <w:rPr>
                <w:b/>
                <w:bCs/>
                <w:color w:val="FFFFFF"/>
                <w:sz w:val="21"/>
                <w:szCs w:val="21"/>
              </w:rPr>
              <w:t xml:space="preserve">Monetary (R$)</w:t>
            </w:r>
          </w:p>
        </w:tc>
        <w:tc>
          <w:tcPr>
            <w:tcW w:type="dxa" w:w="1400"/>
            <w:shd w:fill="2F5496" w:color="auto" w:val="clear"/>
          </w:tcPr>
          <w:p>
            <w:pPr>
              <w:jc w:val="center"/>
            </w:pPr>
            <w:r>
              <w:rPr>
                <w:b/>
                <w:bCs/>
                <w:color w:val="FFFFFF"/>
                <w:sz w:val="21"/>
                <w:szCs w:val="21"/>
              </w:rPr>
              <w:t xml:space="preserve">Avg Review</w:t>
            </w:r>
          </w:p>
        </w:tc>
        <w:tc>
          <w:tcPr>
            <w:tcW w:type="dxa" w:w="1900"/>
            <w:shd w:fill="2F5496" w:color="auto" w:val="clear"/>
          </w:tcPr>
          <w:p>
            <w:pPr>
              <w:jc w:val="center"/>
            </w:pPr>
            <w:r>
              <w:rPr>
                <w:b/>
                <w:bCs/>
                <w:color w:val="FFFFFF"/>
                <w:sz w:val="21"/>
                <w:szCs w:val="21"/>
              </w:rPr>
              <w:t xml:space="preserve">Avg Delivery (days)</w:t>
            </w:r>
          </w:p>
        </w:tc>
      </w:tr>
      <w:tr>
        <w:tc>
          <w:tcPr>
            <w:tcW w:type="dxa" w:w="1300"/>
          </w:tcPr>
          <w:p>
            <w:pPr>
              <w:jc w:val="left"/>
            </w:pPr>
            <w:r>
              <w:rPr>
                <w:b w:val="false"/>
                <w:bCs w:val="false"/>
                <w:sz w:val="21"/>
                <w:szCs w:val="21"/>
              </w:rPr>
              <w:t xml:space="preserve">0</w:t>
            </w:r>
          </w:p>
        </w:tc>
        <w:tc>
          <w:tcPr>
            <w:tcW w:type="dxa" w:w="1300"/>
          </w:tcPr>
          <w:p>
            <w:pPr>
              <w:jc w:val="center"/>
            </w:pPr>
            <w:r>
              <w:rPr>
                <w:b w:val="false"/>
                <w:bCs w:val="false"/>
                <w:sz w:val="21"/>
                <w:szCs w:val="21"/>
              </w:rPr>
              <w:t xml:space="preserve">2,801</w:t>
            </w:r>
          </w:p>
        </w:tc>
        <w:tc>
          <w:tcPr>
            <w:tcW w:type="dxa" w:w="1700"/>
          </w:tcPr>
          <w:p>
            <w:pPr>
              <w:jc w:val="center"/>
            </w:pPr>
            <w:r>
              <w:rPr>
                <w:b w:val="false"/>
                <w:bCs w:val="false"/>
                <w:sz w:val="21"/>
                <w:szCs w:val="21"/>
              </w:rPr>
              <w:t xml:space="preserve">219.29</w:t>
            </w:r>
          </w:p>
        </w:tc>
        <w:tc>
          <w:tcPr>
            <w:tcW w:type="dxa" w:w="1500"/>
          </w:tcPr>
          <w:p>
            <w:pPr>
              <w:jc w:val="center"/>
            </w:pPr>
            <w:r>
              <w:rPr>
                <w:b w:val="false"/>
                <w:bCs w:val="false"/>
                <w:sz w:val="21"/>
                <w:szCs w:val="21"/>
              </w:rPr>
              <w:t xml:space="preserve">2.11</w:t>
            </w:r>
          </w:p>
        </w:tc>
        <w:tc>
          <w:tcPr>
            <w:tcW w:type="dxa" w:w="1700"/>
          </w:tcPr>
          <w:p>
            <w:pPr>
              <w:jc w:val="center"/>
            </w:pPr>
            <w:r>
              <w:rPr>
                <w:b w:val="false"/>
                <w:bCs w:val="false"/>
                <w:sz w:val="21"/>
                <w:szCs w:val="21"/>
              </w:rPr>
              <w:t xml:space="preserve">308.59</w:t>
            </w:r>
          </w:p>
        </w:tc>
        <w:tc>
          <w:tcPr>
            <w:tcW w:type="dxa" w:w="1400"/>
          </w:tcPr>
          <w:p>
            <w:pPr>
              <w:jc w:val="center"/>
            </w:pPr>
            <w:r>
              <w:rPr>
                <w:b w:val="false"/>
                <w:bCs w:val="false"/>
                <w:sz w:val="21"/>
                <w:szCs w:val="21"/>
              </w:rPr>
              <w:t xml:space="preserve">4.21</w:t>
            </w:r>
          </w:p>
        </w:tc>
        <w:tc>
          <w:tcPr>
            <w:tcW w:type="dxa" w:w="1900"/>
          </w:tcPr>
          <w:p>
            <w:pPr>
              <w:jc w:val="center"/>
            </w:pPr>
            <w:r>
              <w:rPr>
                <w:b w:val="false"/>
                <w:bCs w:val="false"/>
                <w:sz w:val="21"/>
                <w:szCs w:val="21"/>
              </w:rPr>
              <w:t xml:space="preserve">11.88</w:t>
            </w:r>
          </w:p>
        </w:tc>
      </w:tr>
      <w:tr>
        <w:tc>
          <w:tcPr>
            <w:tcW w:type="dxa" w:w="1300"/>
          </w:tcPr>
          <w:p>
            <w:pPr>
              <w:jc w:val="left"/>
            </w:pPr>
            <w:r>
              <w:rPr>
                <w:b w:val="false"/>
                <w:bCs w:val="false"/>
                <w:sz w:val="21"/>
                <w:szCs w:val="21"/>
              </w:rPr>
              <w:t xml:space="preserve">1</w:t>
            </w:r>
          </w:p>
        </w:tc>
        <w:tc>
          <w:tcPr>
            <w:tcW w:type="dxa" w:w="1300"/>
          </w:tcPr>
          <w:p>
            <w:pPr>
              <w:jc w:val="center"/>
            </w:pPr>
            <w:r>
              <w:rPr>
                <w:b w:val="false"/>
                <w:bCs w:val="false"/>
                <w:sz w:val="21"/>
                <w:szCs w:val="21"/>
              </w:rPr>
              <w:t xml:space="preserve">14,353</w:t>
            </w:r>
          </w:p>
        </w:tc>
        <w:tc>
          <w:tcPr>
            <w:tcW w:type="dxa" w:w="1700"/>
          </w:tcPr>
          <w:p>
            <w:pPr>
              <w:jc w:val="center"/>
            </w:pPr>
            <w:r>
              <w:rPr>
                <w:b w:val="false"/>
                <w:bCs w:val="false"/>
                <w:sz w:val="21"/>
                <w:szCs w:val="21"/>
              </w:rPr>
              <w:t xml:space="preserve">231.51</w:t>
            </w:r>
          </w:p>
        </w:tc>
        <w:tc>
          <w:tcPr>
            <w:tcW w:type="dxa" w:w="1500"/>
          </w:tcPr>
          <w:p>
            <w:pPr>
              <w:jc w:val="center"/>
            </w:pPr>
            <w:r>
              <w:rPr>
                <w:b w:val="false"/>
                <w:bCs w:val="false"/>
                <w:sz w:val="21"/>
                <w:szCs w:val="21"/>
              </w:rPr>
              <w:t xml:space="preserve">1.00</w:t>
            </w:r>
          </w:p>
        </w:tc>
        <w:tc>
          <w:tcPr>
            <w:tcW w:type="dxa" w:w="1700"/>
          </w:tcPr>
          <w:p>
            <w:pPr>
              <w:jc w:val="center"/>
            </w:pPr>
            <w:r>
              <w:rPr>
                <w:b w:val="false"/>
                <w:bCs w:val="false"/>
                <w:sz w:val="21"/>
                <w:szCs w:val="21"/>
              </w:rPr>
              <w:t xml:space="preserve">195.76</w:t>
            </w:r>
          </w:p>
        </w:tc>
        <w:tc>
          <w:tcPr>
            <w:tcW w:type="dxa" w:w="1400"/>
          </w:tcPr>
          <w:p>
            <w:pPr>
              <w:jc w:val="center"/>
            </w:pPr>
            <w:r>
              <w:rPr>
                <w:b w:val="false"/>
                <w:bCs w:val="false"/>
                <w:sz w:val="21"/>
                <w:szCs w:val="21"/>
              </w:rPr>
              <w:t xml:space="preserve">1.66</w:t>
            </w:r>
          </w:p>
        </w:tc>
        <w:tc>
          <w:tcPr>
            <w:tcW w:type="dxa" w:w="1900"/>
          </w:tcPr>
          <w:p>
            <w:pPr>
              <w:jc w:val="center"/>
            </w:pPr>
            <w:r>
              <w:rPr>
                <w:b w:val="false"/>
                <w:bCs w:val="false"/>
                <w:sz w:val="21"/>
                <w:szCs w:val="21"/>
              </w:rPr>
              <w:t xml:space="preserve">21.91</w:t>
            </w:r>
          </w:p>
        </w:tc>
      </w:tr>
      <w:tr>
        <w:tc>
          <w:tcPr>
            <w:tcW w:type="dxa" w:w="1300"/>
          </w:tcPr>
          <w:p>
            <w:pPr>
              <w:jc w:val="left"/>
            </w:pPr>
            <w:r>
              <w:rPr>
                <w:b w:val="false"/>
                <w:bCs w:val="false"/>
                <w:sz w:val="21"/>
                <w:szCs w:val="21"/>
              </w:rPr>
              <w:t xml:space="preserve">2</w:t>
            </w:r>
          </w:p>
        </w:tc>
        <w:tc>
          <w:tcPr>
            <w:tcW w:type="dxa" w:w="1300"/>
          </w:tcPr>
          <w:p>
            <w:pPr>
              <w:jc w:val="center"/>
            </w:pPr>
            <w:r>
              <w:rPr>
                <w:b w:val="false"/>
                <w:bCs w:val="false"/>
                <w:sz w:val="21"/>
                <w:szCs w:val="21"/>
              </w:rPr>
              <w:t xml:space="preserve">42,952</w:t>
            </w:r>
          </w:p>
        </w:tc>
        <w:tc>
          <w:tcPr>
            <w:tcW w:type="dxa" w:w="1700"/>
          </w:tcPr>
          <w:p>
            <w:pPr>
              <w:jc w:val="center"/>
            </w:pPr>
            <w:r>
              <w:rPr>
                <w:b w:val="false"/>
                <w:bCs w:val="false"/>
                <w:sz w:val="21"/>
                <w:szCs w:val="21"/>
              </w:rPr>
              <w:t xml:space="preserve">121.85</w:t>
            </w:r>
          </w:p>
        </w:tc>
        <w:tc>
          <w:tcPr>
            <w:tcW w:type="dxa" w:w="1500"/>
          </w:tcPr>
          <w:p>
            <w:pPr>
              <w:jc w:val="center"/>
            </w:pPr>
            <w:r>
              <w:rPr>
                <w:b w:val="false"/>
                <w:bCs w:val="false"/>
                <w:sz w:val="21"/>
                <w:szCs w:val="21"/>
              </w:rPr>
              <w:t xml:space="preserve">1.00</w:t>
            </w:r>
          </w:p>
        </w:tc>
        <w:tc>
          <w:tcPr>
            <w:tcW w:type="dxa" w:w="1700"/>
          </w:tcPr>
          <w:p>
            <w:pPr>
              <w:jc w:val="center"/>
            </w:pPr>
            <w:r>
              <w:rPr>
                <w:b w:val="false"/>
                <w:bCs w:val="false"/>
                <w:sz w:val="21"/>
                <w:szCs w:val="21"/>
              </w:rPr>
              <w:t xml:space="preserve">151.25</w:t>
            </w:r>
          </w:p>
        </w:tc>
        <w:tc>
          <w:tcPr>
            <w:tcW w:type="dxa" w:w="1400"/>
          </w:tcPr>
          <w:p>
            <w:pPr>
              <w:jc w:val="center"/>
            </w:pPr>
            <w:r>
              <w:rPr>
                <w:b w:val="false"/>
                <w:bCs w:val="false"/>
                <w:sz w:val="21"/>
                <w:szCs w:val="21"/>
              </w:rPr>
              <w:t xml:space="preserve">4.65</w:t>
            </w:r>
          </w:p>
        </w:tc>
        <w:tc>
          <w:tcPr>
            <w:tcW w:type="dxa" w:w="1900"/>
          </w:tcPr>
          <w:p>
            <w:pPr>
              <w:jc w:val="center"/>
            </w:pPr>
            <w:r>
              <w:rPr>
                <w:b w:val="false"/>
                <w:bCs w:val="false"/>
                <w:sz w:val="21"/>
                <w:szCs w:val="21"/>
              </w:rPr>
              <w:t xml:space="preserve">9.48</w:t>
            </w:r>
          </w:p>
        </w:tc>
      </w:tr>
      <w:tr>
        <w:tc>
          <w:tcPr>
            <w:tcW w:type="dxa" w:w="1300"/>
          </w:tcPr>
          <w:p>
            <w:pPr>
              <w:jc w:val="left"/>
            </w:pPr>
            <w:r>
              <w:rPr>
                <w:b w:val="false"/>
                <w:bCs w:val="false"/>
                <w:sz w:val="21"/>
                <w:szCs w:val="21"/>
              </w:rPr>
              <w:t xml:space="preserve">3</w:t>
            </w:r>
          </w:p>
        </w:tc>
        <w:tc>
          <w:tcPr>
            <w:tcW w:type="dxa" w:w="1300"/>
          </w:tcPr>
          <w:p>
            <w:pPr>
              <w:jc w:val="center"/>
            </w:pPr>
            <w:r>
              <w:rPr>
                <w:b w:val="false"/>
                <w:bCs w:val="false"/>
                <w:sz w:val="21"/>
                <w:szCs w:val="21"/>
              </w:rPr>
              <w:t xml:space="preserve">33,244</w:t>
            </w:r>
          </w:p>
        </w:tc>
        <w:tc>
          <w:tcPr>
            <w:tcW w:type="dxa" w:w="1700"/>
          </w:tcPr>
          <w:p>
            <w:pPr>
              <w:jc w:val="center"/>
            </w:pPr>
            <w:r>
              <w:rPr>
                <w:b w:val="false"/>
                <w:bCs w:val="false"/>
                <w:sz w:val="21"/>
                <w:szCs w:val="21"/>
              </w:rPr>
              <w:t xml:space="preserve">389.50</w:t>
            </w:r>
          </w:p>
        </w:tc>
        <w:tc>
          <w:tcPr>
            <w:tcW w:type="dxa" w:w="1500"/>
          </w:tcPr>
          <w:p>
            <w:pPr>
              <w:jc w:val="center"/>
            </w:pPr>
            <w:r>
              <w:rPr>
                <w:b w:val="false"/>
                <w:bCs w:val="false"/>
                <w:sz w:val="21"/>
                <w:szCs w:val="21"/>
              </w:rPr>
              <w:t xml:space="preserve">1.00</w:t>
            </w:r>
          </w:p>
        </w:tc>
        <w:tc>
          <w:tcPr>
            <w:tcW w:type="dxa" w:w="1700"/>
          </w:tcPr>
          <w:p>
            <w:pPr>
              <w:jc w:val="center"/>
            </w:pPr>
            <w:r>
              <w:rPr>
                <w:b w:val="false"/>
                <w:bCs w:val="false"/>
                <w:sz w:val="21"/>
                <w:szCs w:val="21"/>
              </w:rPr>
              <w:t xml:space="preserve">157.94</w:t>
            </w:r>
          </w:p>
        </w:tc>
        <w:tc>
          <w:tcPr>
            <w:tcW w:type="dxa" w:w="1400"/>
          </w:tcPr>
          <w:p>
            <w:pPr>
              <w:jc w:val="center"/>
            </w:pPr>
            <w:r>
              <w:rPr>
                <w:b w:val="false"/>
                <w:bCs w:val="false"/>
                <w:sz w:val="21"/>
                <w:szCs w:val="21"/>
              </w:rPr>
              <w:t xml:space="preserve">4.60</w:t>
            </w:r>
          </w:p>
        </w:tc>
        <w:tc>
          <w:tcPr>
            <w:tcW w:type="dxa" w:w="1900"/>
          </w:tcPr>
          <w:p>
            <w:pPr>
              <w:jc w:val="center"/>
            </w:pPr>
            <w:r>
              <w:rPr>
                <w:b w:val="false"/>
                <w:bCs w:val="false"/>
                <w:sz w:val="21"/>
                <w:szCs w:val="21"/>
              </w:rPr>
              <w:t xml:space="preserve">11.28</w:t>
            </w:r>
          </w:p>
        </w:tc>
      </w:tr>
    </w:tbl>
    <w:p>
      <w:pPr>
        <w:spacing w:after="200"/>
      </w:pPr>
    </w:p>
    <w:p>
      <w:pPr>
        <w:spacing w:after="150"/>
      </w:pPr>
      <w:r>
        <w:rPr>
          <w:sz w:val="22"/>
          <w:szCs w:val="22"/>
        </w:rPr>
        <w:t xml:space="preserve">Final KMeans (k=4) silhouette score: 0.2661. Reading the profile: Cluster 2 is the largest and healthiest group — fast delivery, high satisfaction, recent activity. Cluster 1 stands out as the clear at-risk group — the worst average review score (1.66) and by far the slowest delivery (21.91 days), a strong signal that slow logistics is driving dissatisfaction. Cluster 3 is a large, satisfied but dormant group (highest recency, i.e. longest time since last purchase). Cluster 0, though smallest, has the highest average frequency and monetary value — the closest thing to a "repeat customer" segment in a dataset where repeat purchases are rare.</w:t>
      </w:r>
    </w:p>
    <w:p>
      <w:pPr>
        <w:pStyle w:val="Heading2"/>
        <w:spacing w:after="150" w:before="300"/>
      </w:pPr>
      <w:r>
        <w:t xml:space="preserve">3.2 DBSCAN Clustering</w:t>
      </w:r>
    </w:p>
    <w:p>
      <w:pPr>
        <w:spacing w:after="150"/>
      </w:pPr>
      <w:r>
        <w:rPr>
          <w:sz w:val="22"/>
          <w:szCs w:val="22"/>
        </w:rPr>
        <w:t xml:space="preserve">DBSCAN groups densely-packed points together and labels sparse, isolated points as noise (label = -1) rather than forcing every point into a cluster, unlike KMeans. The neighborhood radius (eps) was chosen using a k-distance plot (distance to each point's 5th nearest neighbor, sorted) — the elbow sat around eps ≈ 0.7, used with min_samples=5.</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shd w:fill="2F5496" w:color="auto" w:val="clear"/>
          </w:tcPr>
          <w:p>
            <w:pPr>
              <w:jc w:val="center"/>
            </w:pPr>
            <w:r>
              <w:rPr>
                <w:b/>
                <w:bCs/>
                <w:color w:val="FFFFFF"/>
                <w:sz w:val="21"/>
                <w:szCs w:val="21"/>
              </w:rPr>
              <w:t xml:space="preserve">Metric</w:t>
            </w:r>
          </w:p>
        </w:tc>
        <w:tc>
          <w:tcPr>
            <w:tcW w:type="dxa" w:w="3500"/>
            <w:shd w:fill="2F5496" w:color="auto" w:val="clear"/>
          </w:tcPr>
          <w:p>
            <w:pPr>
              <w:jc w:val="center"/>
            </w:pPr>
            <w:r>
              <w:rPr>
                <w:b/>
                <w:bCs/>
                <w:color w:val="FFFFFF"/>
                <w:sz w:val="21"/>
                <w:szCs w:val="21"/>
              </w:rPr>
              <w:t xml:space="preserve">Value</w:t>
            </w:r>
          </w:p>
        </w:tc>
      </w:tr>
      <w:tr>
        <w:tc>
          <w:tcPr>
            <w:tcW w:type="dxa" w:w="3500"/>
          </w:tcPr>
          <w:p>
            <w:pPr>
              <w:jc w:val="left"/>
            </w:pPr>
            <w:r>
              <w:rPr>
                <w:b w:val="false"/>
                <w:bCs w:val="false"/>
                <w:sz w:val="21"/>
                <w:szCs w:val="21"/>
              </w:rPr>
              <w:t xml:space="preserve">Clusters found (excluding noise)</w:t>
            </w:r>
          </w:p>
        </w:tc>
        <w:tc>
          <w:tcPr>
            <w:tcW w:type="dxa" w:w="3500"/>
          </w:tcPr>
          <w:p>
            <w:pPr>
              <w:jc w:val="center"/>
            </w:pPr>
            <w:r>
              <w:rPr>
                <w:b w:val="false"/>
                <w:bCs w:val="false"/>
                <w:sz w:val="21"/>
                <w:szCs w:val="21"/>
              </w:rPr>
              <w:t xml:space="preserve">8</w:t>
            </w:r>
          </w:p>
        </w:tc>
      </w:tr>
      <w:tr>
        <w:tc>
          <w:tcPr>
            <w:tcW w:type="dxa" w:w="3500"/>
          </w:tcPr>
          <w:p>
            <w:pPr>
              <w:jc w:val="left"/>
            </w:pPr>
            <w:r>
              <w:rPr>
                <w:b w:val="false"/>
                <w:bCs w:val="false"/>
                <w:sz w:val="21"/>
                <w:szCs w:val="21"/>
              </w:rPr>
              <w:t xml:space="preserve">Noise points</w:t>
            </w:r>
          </w:p>
        </w:tc>
        <w:tc>
          <w:tcPr>
            <w:tcW w:type="dxa" w:w="3500"/>
          </w:tcPr>
          <w:p>
            <w:pPr>
              <w:jc w:val="center"/>
            </w:pPr>
            <w:r>
              <w:rPr>
                <w:b w:val="false"/>
                <w:bCs w:val="false"/>
                <w:sz w:val="21"/>
                <w:szCs w:val="21"/>
              </w:rPr>
              <w:t xml:space="preserve">452 (0.5% of all customers)</w:t>
            </w:r>
          </w:p>
        </w:tc>
      </w:tr>
      <w:tr>
        <w:tc>
          <w:tcPr>
            <w:tcW w:type="dxa" w:w="3500"/>
          </w:tcPr>
          <w:p>
            <w:pPr>
              <w:jc w:val="left"/>
            </w:pPr>
            <w:r>
              <w:rPr>
                <w:b w:val="false"/>
                <w:bCs w:val="false"/>
                <w:sz w:val="21"/>
                <w:szCs w:val="21"/>
              </w:rPr>
              <w:t xml:space="preserve">Silhouette score (excl. noise)</w:t>
            </w:r>
          </w:p>
        </w:tc>
        <w:tc>
          <w:tcPr>
            <w:tcW w:type="dxa" w:w="3500"/>
          </w:tcPr>
          <w:p>
            <w:pPr>
              <w:jc w:val="center"/>
            </w:pPr>
            <w:r>
              <w:rPr>
                <w:b w:val="false"/>
                <w:bCs w:val="false"/>
                <w:sz w:val="21"/>
                <w:szCs w:val="21"/>
              </w:rPr>
              <w:t xml:space="preserve">0.5601</w:t>
            </w:r>
          </w:p>
        </w:tc>
      </w:tr>
    </w:tbl>
    <w:p>
      <w:pPr>
        <w:spacing w:after="200"/>
      </w:pPr>
    </w:p>
    <w:p>
      <w:pPr>
        <w:spacing w:after="150"/>
      </w:pPr>
      <w:r>
        <w:rPr>
          <w:sz w:val="22"/>
          <w:szCs w:val="22"/>
        </w:rPr>
        <w:t xml:space="preserve">DBSCAN's cluster sizes were highly uneven: one giant cluster of 90,252 "normal" customers, a second cluster of 2,488, and six tiny micro-clusters of 5-128 points each — plus 452 points flagged as noise.</w:t>
      </w:r>
    </w:p>
    <w:p>
      <w:pPr>
        <w:pStyle w:val="Heading2"/>
        <w:spacing w:after="150" w:before="300"/>
      </w:pPr>
      <w:r>
        <w:t xml:space="preserve">3.3 KMeans vs. DBSCAN — Which One to Use</w:t>
      </w:r>
    </w:p>
    <w:p>
      <w:pPr>
        <w:spacing w:after="150"/>
      </w:pPr>
      <w:r>
        <w:rPr>
          <w:sz w:val="22"/>
          <w:szCs w:val="22"/>
        </w:rPr>
        <w:t xml:space="preserve">DBSCAN's silhouette score (0.5601) is higher than KMeans's (0.2661) at first glance, but that comparison is a bit misleading: DBSCAN's number only counts its one giant "normal" cluster plus a few genuinely tight micro-clusters, after quietly discarding the awkward, spread-out points as noise. KMeans doesn't get that luxury — it must assign every customer somewhere, including messy in-between cases, which naturally costs it some silhouette score.</w:t>
      </w:r>
    </w:p>
    <w:p>
      <w:pPr>
        <w:spacing w:after="150"/>
      </w:pPr>
      <w:r>
        <w:rPr>
          <w:b/>
          <w:bCs/>
          <w:sz w:val="22"/>
          <w:szCs w:val="22"/>
        </w:rPr>
        <w:t xml:space="preserve">Verdict: </w:t>
      </w:r>
      <w:r>
        <w:rPr>
          <w:sz w:val="22"/>
          <w:szCs w:val="22"/>
        </w:rPr>
        <w:t xml:space="preserve">for an actionable, everyone-gets-a-segment business tool, KMeans's 4 segments are more useful. DBSCAN, on the other hand, is genuinely great at a different job — automatically flagging the unusual customers (its noise points) for manual review.</w:t>
      </w:r>
    </w:p>
    <w:p>
      <w:pPr>
        <w:spacing w:after="150"/>
      </w:pPr>
      <w:r>
        <w:rPr>
          <w:sz w:val="22"/>
          <w:szCs w:val="22"/>
        </w:rPr>
        <w:t xml:space="preserve">Both sets of clusters were visualized in 2D using PCA (Principal Component Analysis), which compressed the 5 original features down to the 2 directions capturing the most variance — together explaining 50.7% of total variance, enough for a faithful, if simplified, 2D picture of the cluster structure.</w:t>
      </w:r>
    </w:p>
    <w:p>
      <w:pPr>
        <w:pStyle w:val="Heading1"/>
        <w:spacing w:after="200" w:before="400"/>
      </w:pPr>
      <w:r>
        <w:t xml:space="preserve">4. NLP — Review Text Analysis</w:t>
      </w:r>
    </w:p>
    <w:p>
      <w:pPr>
        <w:spacing w:after="150"/>
      </w:pPr>
      <w:r>
        <w:rPr>
          <w:sz w:val="22"/>
          <w:szCs w:val="22"/>
        </w:rPr>
        <w:t xml:space="preserve">This pillar works directly with the free-text review_comment_message field (written in Portuguese) to classify sentiment and explore what customers are actually talking about.</w:t>
      </w:r>
    </w:p>
    <w:p>
      <w:pPr>
        <w:pStyle w:val="Heading2"/>
        <w:spacing w:after="150" w:before="300"/>
      </w:pPr>
      <w:r>
        <w:t xml:space="preserve">4.1 Sentiment Classification</w:t>
      </w:r>
    </w:p>
    <w:p>
      <w:pPr>
        <w:spacing w:after="150"/>
      </w:pPr>
      <w:r>
        <w:rPr>
          <w:sz w:val="22"/>
          <w:szCs w:val="22"/>
        </w:rPr>
        <w:t xml:space="preserve">Reviews were labeled positive/negative from their star rating, cleaned, and converted into TF-IDF features (max 3,000 vocabulary terms). Since positive reviews outnumber negative ones (~71% vs. ~29%), a Logistic Regression classifier was trained with class_weight="balanced", the same imbalance-handling approach used for the is_late model.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shd w:fill="2F5496" w:color="auto" w:val="clear"/>
          </w:tcPr>
          <w:p>
            <w:pPr>
              <w:jc w:val="center"/>
            </w:pPr>
            <w:r>
              <w:rPr>
                <w:b/>
                <w:bCs/>
                <w:color w:val="FFFFFF"/>
                <w:sz w:val="21"/>
                <w:szCs w:val="21"/>
              </w:rPr>
              <w:t xml:space="preserve">Metric</w:t>
            </w:r>
          </w:p>
        </w:tc>
        <w:tc>
          <w:tcPr>
            <w:tcW w:type="dxa" w:w="3500"/>
            <w:shd w:fill="2F5496" w:color="auto" w:val="clear"/>
          </w:tcPr>
          <w:p>
            <w:pPr>
              <w:jc w:val="center"/>
            </w:pPr>
            <w:r>
              <w:rPr>
                <w:b/>
                <w:bCs/>
                <w:color w:val="FFFFFF"/>
                <w:sz w:val="21"/>
                <w:szCs w:val="21"/>
              </w:rPr>
              <w:t xml:space="preserve">Score</w:t>
            </w:r>
          </w:p>
        </w:tc>
      </w:tr>
      <w:tr>
        <w:tc>
          <w:tcPr>
            <w:tcW w:type="dxa" w:w="3500"/>
          </w:tcPr>
          <w:p>
            <w:pPr>
              <w:jc w:val="left"/>
            </w:pPr>
            <w:r>
              <w:rPr>
                <w:b w:val="false"/>
                <w:bCs w:val="false"/>
                <w:sz w:val="21"/>
                <w:szCs w:val="21"/>
              </w:rPr>
              <w:t xml:space="preserve">Accuracy</w:t>
            </w:r>
          </w:p>
        </w:tc>
        <w:tc>
          <w:tcPr>
            <w:tcW w:type="dxa" w:w="3500"/>
          </w:tcPr>
          <w:p>
            <w:pPr>
              <w:jc w:val="center"/>
            </w:pPr>
            <w:r>
              <w:rPr>
                <w:b w:val="false"/>
                <w:bCs w:val="false"/>
                <w:sz w:val="21"/>
                <w:szCs w:val="21"/>
              </w:rPr>
              <w:t xml:space="preserve">0.9037</w:t>
            </w:r>
          </w:p>
        </w:tc>
      </w:tr>
      <w:tr>
        <w:tc>
          <w:tcPr>
            <w:tcW w:type="dxa" w:w="3500"/>
          </w:tcPr>
          <w:p>
            <w:pPr>
              <w:jc w:val="left"/>
            </w:pPr>
            <w:r>
              <w:rPr>
                <w:b w:val="false"/>
                <w:bCs w:val="false"/>
                <w:sz w:val="21"/>
                <w:szCs w:val="21"/>
              </w:rPr>
              <w:t xml:space="preserve">Precision</w:t>
            </w:r>
          </w:p>
        </w:tc>
        <w:tc>
          <w:tcPr>
            <w:tcW w:type="dxa" w:w="3500"/>
          </w:tcPr>
          <w:p>
            <w:pPr>
              <w:jc w:val="center"/>
            </w:pPr>
            <w:r>
              <w:rPr>
                <w:b w:val="false"/>
                <w:bCs w:val="false"/>
                <w:sz w:val="21"/>
                <w:szCs w:val="21"/>
              </w:rPr>
              <w:t xml:space="preserve">0.9656</w:t>
            </w:r>
          </w:p>
        </w:tc>
      </w:tr>
      <w:tr>
        <w:tc>
          <w:tcPr>
            <w:tcW w:type="dxa" w:w="3500"/>
          </w:tcPr>
          <w:p>
            <w:pPr>
              <w:jc w:val="left"/>
            </w:pPr>
            <w:r>
              <w:rPr>
                <w:b w:val="false"/>
                <w:bCs w:val="false"/>
                <w:sz w:val="21"/>
                <w:szCs w:val="21"/>
              </w:rPr>
              <w:t xml:space="preserve">Recall</w:t>
            </w:r>
          </w:p>
        </w:tc>
        <w:tc>
          <w:tcPr>
            <w:tcW w:type="dxa" w:w="3500"/>
          </w:tcPr>
          <w:p>
            <w:pPr>
              <w:jc w:val="center"/>
            </w:pPr>
            <w:r>
              <w:rPr>
                <w:b w:val="false"/>
                <w:bCs w:val="false"/>
                <w:sz w:val="21"/>
                <w:szCs w:val="21"/>
              </w:rPr>
              <w:t xml:space="preserve">0.8956</w:t>
            </w:r>
          </w:p>
        </w:tc>
      </w:tr>
      <w:tr>
        <w:tc>
          <w:tcPr>
            <w:tcW w:type="dxa" w:w="3500"/>
          </w:tcPr>
          <w:p>
            <w:pPr>
              <w:jc w:val="left"/>
            </w:pPr>
            <w:r>
              <w:rPr>
                <w:b w:val="false"/>
                <w:bCs w:val="false"/>
                <w:sz w:val="21"/>
                <w:szCs w:val="21"/>
              </w:rPr>
              <w:t xml:space="preserve">F1 Score</w:t>
            </w:r>
          </w:p>
        </w:tc>
        <w:tc>
          <w:tcPr>
            <w:tcW w:type="dxa" w:w="3500"/>
          </w:tcPr>
          <w:p>
            <w:pPr>
              <w:jc w:val="center"/>
            </w:pPr>
            <w:r>
              <w:rPr>
                <w:b w:val="false"/>
                <w:bCs w:val="false"/>
                <w:sz w:val="21"/>
                <w:szCs w:val="21"/>
              </w:rPr>
              <w:t xml:space="preserve">0.9293</w:t>
            </w:r>
          </w:p>
        </w:tc>
      </w:tr>
    </w:tbl>
    <w:p>
      <w:pPr>
        <w:spacing w:after="200"/>
      </w:pPr>
    </w:p>
    <w:p>
      <w:pPr>
        <w:spacing w:after="150"/>
      </w:pPr>
      <w:r>
        <w:rPr>
          <w:sz w:val="22"/>
          <w:szCs w:val="22"/>
        </w:rPr>
        <w:t xml:space="preserve">This is a strong result: TF-IDF + Logistic Regression is a lightweight, fast, and highly interpretable baseline, and here it performs very well — likely because sentiment in these reviews is expressed with fairly direct, repeated vocabulary (praise words vs. complaint words) rather than subtle or sarcastic language.</w:t>
      </w:r>
    </w:p>
    <w:p>
      <w:pPr>
        <w:pStyle w:val="Heading2"/>
        <w:spacing w:after="150" w:before="300"/>
      </w:pPr>
      <w:r>
        <w:t xml:space="preserve">4.2 Top Keywords by Sentiment</w:t>
      </w:r>
    </w:p>
    <w:p>
      <w:pPr>
        <w:spacing w:after="150"/>
      </w:pPr>
      <w:r>
        <w:rPr>
          <w:sz w:val="22"/>
          <w:szCs w:val="22"/>
        </w:rPr>
        <w:t xml:space="preserve">Average TF-IDF weight per word was computed separately for positive and negative training reviews, surfacing the vocabulary that most distinguishes each class.</w:t>
      </w:r>
    </w:p>
    <w:p>
      <w:pPr>
        <w:spacing w:after="150"/>
      </w:pPr>
      <w:r>
        <w:rPr>
          <w:b/>
          <w:bCs/>
          <w:sz w:val="22"/>
          <w:szCs w:val="22"/>
        </w:rPr>
        <w:t xml:space="preserve">Positive reviews lean on: </w:t>
      </w:r>
      <w:r>
        <w:rPr>
          <w:sz w:val="22"/>
          <w:szCs w:val="22"/>
        </w:rPr>
        <w:t xml:space="preserve">produto, bom (good), prazo (deadline/on time), antes (before/early), recomendo (recommend), entrega (delivery), chegou (arrived), ótimo (great), excelente (excellent), qualidade (quality), gostei (I liked it), rápida (fast) — praise plus fast delivery.</w:t>
      </w:r>
    </w:p>
    <w:p>
      <w:pPr>
        <w:spacing w:after="150"/>
      </w:pPr>
      <w:r>
        <w:rPr>
          <w:b/>
          <w:bCs/>
          <w:sz w:val="22"/>
          <w:szCs w:val="22"/>
        </w:rPr>
        <w:t xml:space="preserve">Negative reviews cluster around: </w:t>
      </w:r>
      <w:r>
        <w:rPr>
          <w:sz w:val="22"/>
          <w:szCs w:val="22"/>
        </w:rPr>
        <w:t xml:space="preserve">ainda (still), aguardando (waiting), recebi (received), comprei (I bought), veio (came), nao (no/not), pedido (order), loja (store), dia (day) — overwhelmingly about delivery problems and non-arrival, not product quality.</w:t>
      </w:r>
    </w:p>
    <w:p>
      <w:pPr>
        <w:pBdr>
          <w:left w:val="single" w:color="2F5496" w:sz="20"/>
        </w:pBdr>
        <w:shd w:fill="F2F2F2" w:color="auto" w:val="clear"/>
        <w:spacing w:after="200"/>
        <w:ind w:left="200"/>
      </w:pPr>
      <w:r>
        <w:rPr>
          <w:i/>
          <w:iCs/>
          <w:sz w:val="21"/>
          <w:szCs w:val="21"/>
        </w:rPr>
        <w:t xml:space="preserve">This matches the finding from the Supervised Learning module too: delivery experience is clearly a major driver of customer sentiment on this platform, not the products themselves.</w:t>
      </w:r>
    </w:p>
    <w:p>
      <w:pPr>
        <w:pStyle w:val="Heading2"/>
        <w:spacing w:after="150" w:before="300"/>
      </w:pPr>
      <w:r>
        <w:t xml:space="preserve">4.3 Word2Vec (Exploratory) &amp; Named Entity Recognition</w:t>
      </w:r>
    </w:p>
    <w:p>
      <w:pPr>
        <w:spacing w:after="150"/>
      </w:pPr>
      <w:r>
        <w:rPr>
          <w:sz w:val="22"/>
          <w:szCs w:val="22"/>
        </w:rPr>
        <w:t xml:space="preserve">A Word2Vec model was trained separately as an optional, exploratory step (per the project brief) to show what a denser word representation captures — unlike TF-IDF, which treats every word as an independent, disconnected column, Word2Vec learns vectors so that words used in similar contexts end up with similar vectors (e.g. "bom" and "ótimo" being close together).</w:t>
      </w:r>
    </w:p>
    <w:p>
      <w:pPr>
        <w:spacing w:after="150"/>
      </w:pPr>
      <w:r>
        <w:rPr>
          <w:sz w:val="22"/>
          <w:szCs w:val="22"/>
        </w:rPr>
        <w:t xml:space="preserve">A pretrained spaCy Portuguese NER pipeline was also run on a sample of raw reviews to detect people, organizations, and locations mentioned in the text. The honest result: entities were genuinely rare (found in only 4 of 20 sampled reviews), and some detections were false positives — expected, since Olist reviews are short, informal, and often ALL-CAPS or unpunctuated, unlike the well-structured news-style text most pretrained NER models are trained on.</w:t>
      </w:r>
    </w:p>
    <w:p>
      <w:pPr>
        <w:pStyle w:val="Heading1"/>
        <w:spacing w:after="200" w:before="400"/>
      </w:pPr>
      <w:r>
        <w:t xml:space="preserve">5. Time-Series Sales Forecasting</w:t>
      </w:r>
    </w:p>
    <w:p>
      <w:pPr>
        <w:spacing w:after="150"/>
      </w:pPr>
      <w:r>
        <w:rPr>
          <w:sz w:val="22"/>
          <w:szCs w:val="22"/>
        </w:rPr>
        <w:t xml:space="preserve">Orders were aggregated into a monthly total-sales series, checked for stationarity, and differenced as needed before three forecasting approaches were trained and compared on held-out test months.</w:t>
      </w:r>
    </w:p>
    <w:p>
      <w:pPr>
        <w:pStyle w:val="ListParagraph"/>
        <w:numPr>
          <w:ilvl w:val="0"/>
          <w:numId w:val="1"/>
        </w:numPr>
        <w:spacing w:after="80"/>
      </w:pPr>
      <w:r>
        <w:rPr>
          <w:sz w:val="22"/>
          <w:szCs w:val="22"/>
        </w:rPr>
        <w:t xml:space="preserve">ARIMA — auto_arima searches (p, d, q) combinations and picks the one with lowest AIC; no seasonal component</w:t>
      </w:r>
    </w:p>
    <w:p>
      <w:pPr>
        <w:pStyle w:val="ListParagraph"/>
        <w:numPr>
          <w:ilvl w:val="0"/>
          <w:numId w:val="1"/>
        </w:numPr>
        <w:spacing w:after="80"/>
      </w:pPr>
      <w:r>
        <w:rPr>
          <w:sz w:val="22"/>
          <w:szCs w:val="22"/>
        </w:rPr>
        <w:t xml:space="preserve">SARIMA — same idea, extended with a seasonal component (period m=12) to capture yearly repeating patterns</w:t>
      </w:r>
    </w:p>
    <w:p>
      <w:pPr>
        <w:pStyle w:val="ListParagraph"/>
        <w:numPr>
          <w:ilvl w:val="0"/>
          <w:numId w:val="1"/>
        </w:numPr>
        <w:spacing w:after="80"/>
      </w:pPr>
      <w:r>
        <w:rPr>
          <w:sz w:val="22"/>
          <w:szCs w:val="22"/>
        </w:rPr>
        <w:t xml:space="preserve">Prophet — designed to be more "automatic" about trend and seasonality, and handles irregular series gracefully</w:t>
      </w:r>
    </w:p>
    <w:p>
      <w:pPr>
        <w:pStyle w:val="Heading3"/>
        <w:spacing w:after="100" w:before="200"/>
      </w:pPr>
      <w:r>
        <w:t xml:space="preserve">Time-Series Model Comparison Table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rPr>
          <w:tblHeader/>
        </w:trPr>
        <w:tc>
          <w:tcPr>
            <w:tcW w:type="dxa" w:w="3000"/>
            <w:shd w:fill="2F5496" w:color="auto" w:val="clear"/>
          </w:tcPr>
          <w:p>
            <w:pPr>
              <w:jc w:val="center"/>
            </w:pPr>
            <w:r>
              <w:rPr>
                <w:b/>
                <w:bCs/>
                <w:color w:val="FFFFFF"/>
                <w:sz w:val="21"/>
                <w:szCs w:val="21"/>
              </w:rPr>
              <w:t xml:space="preserve">Model</w:t>
            </w:r>
          </w:p>
        </w:tc>
        <w:tc>
          <w:tcPr>
            <w:tcW w:type="dxa" w:w="2500"/>
            <w:shd w:fill="2F5496" w:color="auto" w:val="clear"/>
          </w:tcPr>
          <w:p>
            <w:pPr>
              <w:jc w:val="center"/>
            </w:pPr>
            <w:r>
              <w:rPr>
                <w:b/>
                <w:bCs/>
                <w:color w:val="FFFFFF"/>
                <w:sz w:val="21"/>
                <w:szCs w:val="21"/>
              </w:rPr>
              <w:t xml:space="preserve">MAE (R$)</w:t>
            </w:r>
          </w:p>
        </w:tc>
        <w:tc>
          <w:tcPr>
            <w:tcW w:type="dxa" w:w="2500"/>
            <w:shd w:fill="2F5496" w:color="auto" w:val="clear"/>
          </w:tcPr>
          <w:p>
            <w:pPr>
              <w:jc w:val="center"/>
            </w:pPr>
            <w:r>
              <w:rPr>
                <w:b/>
                <w:bCs/>
                <w:color w:val="FFFFFF"/>
                <w:sz w:val="21"/>
                <w:szCs w:val="21"/>
              </w:rPr>
              <w:t xml:space="preserve">RMSE (R$)</w:t>
            </w:r>
          </w:p>
        </w:tc>
      </w:tr>
      <w:tr>
        <w:tc>
          <w:tcPr>
            <w:tcW w:type="dxa" w:w="3000"/>
          </w:tcPr>
          <w:p>
            <w:pPr>
              <w:jc w:val="left"/>
            </w:pPr>
            <w:r>
              <w:rPr>
                <w:b w:val="false"/>
                <w:bCs w:val="false"/>
                <w:sz w:val="21"/>
                <w:szCs w:val="21"/>
              </w:rPr>
              <w:t xml:space="preserve">ARIMA</w:t>
            </w:r>
          </w:p>
        </w:tc>
        <w:tc>
          <w:tcPr>
            <w:tcW w:type="dxa" w:w="2500"/>
            <w:shd w:fill="C6EFCE" w:color="auto" w:val="clear"/>
          </w:tcPr>
          <w:p>
            <w:pPr>
              <w:jc w:val="center"/>
            </w:pPr>
            <w:r>
              <w:rPr>
                <w:b w:val="false"/>
                <w:bCs w:val="false"/>
                <w:sz w:val="21"/>
                <w:szCs w:val="21"/>
              </w:rPr>
              <w:t xml:space="preserve">275,897</w:t>
            </w:r>
          </w:p>
        </w:tc>
        <w:tc>
          <w:tcPr>
            <w:tcW w:type="dxa" w:w="2500"/>
            <w:shd w:fill="C6EFCE" w:color="auto" w:val="clear"/>
          </w:tcPr>
          <w:p>
            <w:pPr>
              <w:jc w:val="center"/>
            </w:pPr>
            <w:r>
              <w:rPr>
                <w:b w:val="false"/>
                <w:bCs w:val="false"/>
                <w:sz w:val="21"/>
                <w:szCs w:val="21"/>
              </w:rPr>
              <w:t xml:space="preserve">281,940</w:t>
            </w:r>
          </w:p>
        </w:tc>
      </w:tr>
      <w:tr>
        <w:tc>
          <w:tcPr>
            <w:tcW w:type="dxa" w:w="3000"/>
          </w:tcPr>
          <w:p>
            <w:pPr>
              <w:jc w:val="left"/>
            </w:pPr>
            <w:r>
              <w:rPr>
                <w:b w:val="false"/>
                <w:bCs w:val="false"/>
                <w:sz w:val="21"/>
                <w:szCs w:val="21"/>
              </w:rPr>
              <w:t xml:space="preserve">SARIMA</w:t>
            </w:r>
          </w:p>
        </w:tc>
        <w:tc>
          <w:tcPr>
            <w:tcW w:type="dxa" w:w="2500"/>
            <w:shd w:fill="C6EFCE" w:color="auto" w:val="clear"/>
          </w:tcPr>
          <w:p>
            <w:pPr>
              <w:jc w:val="center"/>
            </w:pPr>
            <w:r>
              <w:rPr>
                <w:b w:val="false"/>
                <w:bCs w:val="false"/>
                <w:sz w:val="21"/>
                <w:szCs w:val="21"/>
              </w:rPr>
              <w:t xml:space="preserve">275,897</w:t>
            </w:r>
          </w:p>
        </w:tc>
        <w:tc>
          <w:tcPr>
            <w:tcW w:type="dxa" w:w="2500"/>
            <w:shd w:fill="C6EFCE" w:color="auto" w:val="clear"/>
          </w:tcPr>
          <w:p>
            <w:pPr>
              <w:jc w:val="center"/>
            </w:pPr>
            <w:r>
              <w:rPr>
                <w:b w:val="false"/>
                <w:bCs w:val="false"/>
                <w:sz w:val="21"/>
                <w:szCs w:val="21"/>
              </w:rPr>
              <w:t xml:space="preserve">281,940</w:t>
            </w:r>
          </w:p>
        </w:tc>
      </w:tr>
      <w:tr>
        <w:tc>
          <w:tcPr>
            <w:tcW w:type="dxa" w:w="3000"/>
          </w:tcPr>
          <w:p>
            <w:pPr>
              <w:jc w:val="left"/>
            </w:pPr>
            <w:r>
              <w:rPr>
                <w:b w:val="false"/>
                <w:bCs w:val="false"/>
                <w:sz w:val="21"/>
                <w:szCs w:val="21"/>
              </w:rPr>
              <w:t xml:space="preserve">Prophet</w:t>
            </w:r>
          </w:p>
        </w:tc>
        <w:tc>
          <w:tcPr>
            <w:tcW w:type="dxa" w:w="2500"/>
          </w:tcPr>
          <w:p>
            <w:pPr>
              <w:jc w:val="center"/>
            </w:pPr>
            <w:r>
              <w:rPr>
                <w:b w:val="false"/>
                <w:bCs w:val="false"/>
                <w:sz w:val="21"/>
                <w:szCs w:val="21"/>
              </w:rPr>
              <w:t xml:space="preserve">349,634</w:t>
            </w:r>
          </w:p>
        </w:tc>
        <w:tc>
          <w:tcPr>
            <w:tcW w:type="dxa" w:w="2500"/>
          </w:tcPr>
          <w:p>
            <w:pPr>
              <w:jc w:val="center"/>
            </w:pPr>
            <w:r>
              <w:rPr>
                <w:b w:val="false"/>
                <w:bCs w:val="false"/>
                <w:sz w:val="21"/>
                <w:szCs w:val="21"/>
              </w:rPr>
              <w:t xml:space="preserve">354,166</w:t>
            </w:r>
          </w:p>
        </w:tc>
      </w:tr>
    </w:tbl>
    <w:p>
      <w:pPr>
        <w:spacing w:after="200"/>
      </w:pPr>
    </w:p>
    <w:p>
      <w:pPr>
        <w:spacing w:after="150"/>
      </w:pPr>
      <w:r>
        <w:rPr>
          <w:sz w:val="22"/>
          <w:szCs w:val="22"/>
        </w:rPr>
        <w:t xml:space="preserve">SARIMA's chosen seasonal order came back as (0,0,0) — with only 17 training months (not even a year and a half), auto_arima correctly concluded there wasn't enough history to reliably detect a 12-month seasonal pattern, so SARIMA collapsed to being numerically identical to plain ARIMA. This is the model honestly refusing to invent a pattern it can't support with the available data, not a bug.</w:t>
      </w:r>
    </w:p>
    <w:p>
      <w:pPr>
        <w:pStyle w:val="Heading3"/>
        <w:spacing w:after="100" w:before="200"/>
      </w:pPr>
      <w:r>
        <w:t xml:space="preserve">Why ARIMA (and SARIMA) Won</w:t>
      </w:r>
    </w:p>
    <w:p>
      <w:pPr>
        <w:spacing w:after="150"/>
      </w:pPr>
      <w:r>
        <w:rPr>
          <w:sz w:val="22"/>
          <w:szCs w:val="22"/>
        </w:rPr>
        <w:t xml:space="preserve">Both ARIMA and Prophet overshoot the actual test months, because sales growth genuinely slowed down in 2018 after a steep 2017 ramp-up, and both models extrapolate a trend. ARIMA's chosen model included a negative autoregressive coefficient, which pulled its forecast back toward recent values rather than projecting the steep trend forward in a straight line. Prophet's trend component, by contrast, continued the growth trajectory more literally, leading to a bigger overshoot.</w:t>
      </w:r>
    </w:p>
    <w:p>
      <w:pPr>
        <w:spacing w:after="150"/>
      </w:pPr>
      <w:r>
        <w:rPr>
          <w:b/>
          <w:bCs/>
          <w:sz w:val="22"/>
          <w:szCs w:val="22"/>
        </w:rPr>
        <w:t xml:space="preserve">ARIMA was selected</w:t>
      </w:r>
      <w:r>
        <w:rPr>
          <w:sz w:val="22"/>
          <w:szCs w:val="22"/>
        </w:rPr>
        <w:t xml:space="preserve"> as the final forecasting model.</w:t>
      </w:r>
    </w:p>
    <w:p>
      <w:pPr>
        <w:pStyle w:val="Heading3"/>
        <w:spacing w:after="100" w:before="200"/>
      </w:pPr>
      <w:r>
        <w:t xml:space="preserve">Final 12-Month Forecast</w:t>
      </w:r>
    </w:p>
    <w:p>
      <w:pPr>
        <w:spacing w:after="150"/>
      </w:pPr>
      <w:r>
        <w:rPr>
          <w:sz w:val="22"/>
          <w:szCs w:val="22"/>
        </w:rPr>
        <w:t xml:space="preserve">The chosen ARIMA model was refit on all 20 months of available data and used to forecast 12 months ahead — the top end of the requested 6-12 month range. Sales are projected to keep gradually rising, continuing the plateau-with-slight-growth pattern seen through mid-2018, rather than either collapsing or resuming steep growth.</w:t>
      </w:r>
    </w:p>
    <w:p>
      <w:pPr>
        <w:pBdr>
          <w:left w:val="single" w:color="2F5496" w:sz="20"/>
        </w:pBdr>
        <w:shd w:fill="F2F2F2" w:color="auto" w:val="clear"/>
        <w:spacing w:after="200"/>
        <w:ind w:left="200"/>
      </w:pPr>
      <w:r>
        <w:rPr>
          <w:i/>
          <w:iCs/>
          <w:sz w:val="21"/>
          <w:szCs w:val="21"/>
        </w:rPr>
        <w:t xml:space="preserve">Honesty check on the forecast: near-term months (1-3 out) are the most reliable, matching the short-horizon test-set evaluation above. The 95% confidence band widens substantially further out — by month 12 it spans roughly R$1.04M to R$2.17M — reflecting genuine uncertainty from having only 20 months of history to learn from, and the fact that yearly seasonality (e.g. a possible November spike) could not be reliably confirmed or ruled out with the data available.</w:t>
      </w:r>
    </w:p>
    <w:p>
      <w:pPr>
        <w:pStyle w:val="Heading1"/>
        <w:spacing w:after="200" w:before="400"/>
      </w:pPr>
      <w:r>
        <w:t xml:space="preserve">6. End-to-End ML Pipelines with Cross-Validation</w:t>
      </w:r>
    </w:p>
    <w:p>
      <w:pPr>
        <w:spacing w:after="150"/>
      </w:pPr>
      <w:r>
        <w:rPr>
          <w:sz w:val="22"/>
          <w:szCs w:val="22"/>
        </w:rPr>
        <w:t xml:space="preserve">The top-performing regression and classification models from Sections 1-2 were rebuilt as complete scikit-learn Pipeline objects (bundling preprocessing + model as one unit) and re-validated using 3-fold cross-validation on the training set — giving a mean and standard deviation per metric across different data slices, a more robust check than a single train/test split.</w:t>
      </w:r>
    </w:p>
    <w:p>
      <w:pPr>
        <w:pBdr>
          <w:left w:val="single" w:color="2F5496" w:sz="20"/>
        </w:pBdr>
        <w:shd w:fill="F2F2F2" w:color="auto" w:val="clear"/>
        <w:spacing w:after="200"/>
        <w:ind w:left="200"/>
      </w:pPr>
      <w:r>
        <w:rPr>
          <w:i/>
          <w:iCs/>
          <w:sz w:val="21"/>
          <w:szCs w:val="21"/>
        </w:rPr>
        <w:t xml:space="preserve">Tuning note: the Random Forest models here use max_features="sqrt" and max_depth=10 — standard regularization choices that speed up training and reduce overfitting risk, applied consistently to both the Regressor and Classifier.</w:t>
      </w:r>
    </w:p>
    <w:p>
      <w:pPr>
        <w:pStyle w:val="Heading2"/>
        <w:spacing w:after="150" w:before="300"/>
      </w:pPr>
      <w:r>
        <w:t xml:space="preserve">6.1 Regression — Cross-Validated Comparison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1500"/>
      </w:tblGrid>
      <w:tr>
        <w:trPr>
          <w:tblHeader/>
        </w:trPr>
        <w:tc>
          <w:tcPr>
            <w:tcW w:type="dxa" w:w="3000"/>
            <w:shd w:fill="2F5496" w:color="auto" w:val="clear"/>
          </w:tcPr>
          <w:p>
            <w:pPr>
              <w:jc w:val="center"/>
            </w:pPr>
            <w:r>
              <w:rPr>
                <w:b/>
                <w:bCs/>
                <w:color w:val="FFFFFF"/>
                <w:sz w:val="21"/>
                <w:szCs w:val="21"/>
              </w:rPr>
              <w:t xml:space="preserve">Model</w:t>
            </w:r>
          </w:p>
        </w:tc>
        <w:tc>
          <w:tcPr>
            <w:tcW w:type="dxa" w:w="2000"/>
            <w:shd w:fill="2F5496" w:color="auto" w:val="clear"/>
          </w:tcPr>
          <w:p>
            <w:pPr>
              <w:jc w:val="center"/>
            </w:pPr>
            <w:r>
              <w:rPr>
                <w:b/>
                <w:bCs/>
                <w:color w:val="FFFFFF"/>
                <w:sz w:val="21"/>
                <w:szCs w:val="21"/>
              </w:rPr>
              <w:t xml:space="preserve">CV MAE</w:t>
            </w:r>
          </w:p>
        </w:tc>
        <w:tc>
          <w:tcPr>
            <w:tcW w:type="dxa" w:w="2000"/>
            <w:shd w:fill="2F5496" w:color="auto" w:val="clear"/>
          </w:tcPr>
          <w:p>
            <w:pPr>
              <w:jc w:val="center"/>
            </w:pPr>
            <w:r>
              <w:rPr>
                <w:b/>
                <w:bCs/>
                <w:color w:val="FFFFFF"/>
                <w:sz w:val="21"/>
                <w:szCs w:val="21"/>
              </w:rPr>
              <w:t xml:space="preserve">CV RMSE</w:t>
            </w:r>
          </w:p>
        </w:tc>
        <w:tc>
          <w:tcPr>
            <w:tcW w:type="dxa" w:w="1500"/>
            <w:shd w:fill="2F5496" w:color="auto" w:val="clear"/>
          </w:tcPr>
          <w:p>
            <w:pPr>
              <w:jc w:val="center"/>
            </w:pPr>
            <w:r>
              <w:rPr>
                <w:b/>
                <w:bCs/>
                <w:color w:val="FFFFFF"/>
                <w:sz w:val="21"/>
                <w:szCs w:val="21"/>
              </w:rPr>
              <w:t xml:space="preserve">CV R²</w:t>
            </w:r>
          </w:p>
        </w:tc>
      </w:tr>
      <w:tr>
        <w:tc>
          <w:tcPr>
            <w:tcW w:type="dxa" w:w="3000"/>
          </w:tcPr>
          <w:p>
            <w:pPr>
              <w:jc w:val="left"/>
            </w:pPr>
            <w:r>
              <w:rPr>
                <w:b w:val="false"/>
                <w:bCs w:val="false"/>
                <w:sz w:val="21"/>
                <w:szCs w:val="21"/>
              </w:rPr>
              <w:t xml:space="preserve">Random Forest Regressor</w:t>
            </w:r>
          </w:p>
        </w:tc>
        <w:tc>
          <w:tcPr>
            <w:tcW w:type="dxa" w:w="2000"/>
            <w:shd w:fill="C6EFCE" w:color="auto" w:val="clear"/>
          </w:tcPr>
          <w:p>
            <w:pPr>
              <w:jc w:val="center"/>
            </w:pPr>
            <w:r>
              <w:rPr>
                <w:b w:val="false"/>
                <w:bCs w:val="false"/>
                <w:sz w:val="21"/>
                <w:szCs w:val="21"/>
              </w:rPr>
              <w:t xml:space="preserve">5.156</w:t>
            </w:r>
          </w:p>
        </w:tc>
        <w:tc>
          <w:tcPr>
            <w:tcW w:type="dxa" w:w="2000"/>
            <w:shd w:fill="C6EFCE" w:color="auto" w:val="clear"/>
          </w:tcPr>
          <w:p>
            <w:pPr>
              <w:jc w:val="center"/>
            </w:pPr>
            <w:r>
              <w:rPr>
                <w:b w:val="false"/>
                <w:bCs w:val="false"/>
                <w:sz w:val="21"/>
                <w:szCs w:val="21"/>
              </w:rPr>
              <w:t xml:space="preserve">8.313</w:t>
            </w:r>
          </w:p>
        </w:tc>
        <w:tc>
          <w:tcPr>
            <w:tcW w:type="dxa" w:w="1500"/>
            <w:shd w:fill="C6EFCE" w:color="auto" w:val="clear"/>
          </w:tcPr>
          <w:p>
            <w:pPr>
              <w:jc w:val="center"/>
            </w:pPr>
            <w:r>
              <w:rPr>
                <w:b w:val="false"/>
                <w:bCs w:val="false"/>
                <w:sz w:val="21"/>
                <w:szCs w:val="21"/>
              </w:rPr>
              <w:t xml:space="preserve">0.252</w:t>
            </w:r>
          </w:p>
        </w:tc>
      </w:tr>
      <w:tr>
        <w:tc>
          <w:tcPr>
            <w:tcW w:type="dxa" w:w="3000"/>
          </w:tcPr>
          <w:p>
            <w:pPr>
              <w:jc w:val="left"/>
            </w:pPr>
            <w:r>
              <w:rPr>
                <w:b w:val="false"/>
                <w:bCs w:val="false"/>
                <w:sz w:val="21"/>
                <w:szCs w:val="21"/>
              </w:rPr>
              <w:t xml:space="preserve">Linear Regression</w:t>
            </w:r>
          </w:p>
        </w:tc>
        <w:tc>
          <w:tcPr>
            <w:tcW w:type="dxa" w:w="2000"/>
          </w:tcPr>
          <w:p>
            <w:pPr>
              <w:jc w:val="center"/>
            </w:pPr>
            <w:r>
              <w:rPr>
                <w:b w:val="false"/>
                <w:bCs w:val="false"/>
                <w:sz w:val="21"/>
                <w:szCs w:val="21"/>
              </w:rPr>
              <w:t xml:space="preserve">5.279</w:t>
            </w:r>
          </w:p>
        </w:tc>
        <w:tc>
          <w:tcPr>
            <w:tcW w:type="dxa" w:w="2000"/>
          </w:tcPr>
          <w:p>
            <w:pPr>
              <w:jc w:val="center"/>
            </w:pPr>
            <w:r>
              <w:rPr>
                <w:b w:val="false"/>
                <w:bCs w:val="false"/>
                <w:sz w:val="21"/>
                <w:szCs w:val="21"/>
              </w:rPr>
              <w:t xml:space="preserve">8.472</w:t>
            </w:r>
          </w:p>
        </w:tc>
        <w:tc>
          <w:tcPr>
            <w:tcW w:type="dxa" w:w="1500"/>
          </w:tcPr>
          <w:p>
            <w:pPr>
              <w:jc w:val="center"/>
            </w:pPr>
            <w:r>
              <w:rPr>
                <w:b w:val="false"/>
                <w:bCs w:val="false"/>
                <w:sz w:val="21"/>
                <w:szCs w:val="21"/>
              </w:rPr>
              <w:t xml:space="preserve">0.223</w:t>
            </w:r>
          </w:p>
        </w:tc>
      </w:tr>
    </w:tbl>
    <w:p>
      <w:pPr>
        <w:spacing w:after="200"/>
      </w:pPr>
    </w:p>
    <w:p>
      <w:pPr>
        <w:pStyle w:val="Heading2"/>
        <w:spacing w:after="150" w:before="300"/>
      </w:pPr>
      <w:r>
        <w:t xml:space="preserve">6.2 Classification — Cross-Validated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300"/>
        <w:gridCol w:w="1100"/>
        <w:gridCol w:w="1400"/>
      </w:tblGrid>
      <w:tr>
        <w:trPr>
          <w:tblHeader/>
        </w:trPr>
        <w:tc>
          <w:tcPr>
            <w:tcW w:type="dxa" w:w="2600"/>
            <w:shd w:fill="2F5496" w:color="auto" w:val="clear"/>
          </w:tcPr>
          <w:p>
            <w:pPr>
              <w:jc w:val="center"/>
            </w:pPr>
            <w:r>
              <w:rPr>
                <w:b/>
                <w:bCs/>
                <w:color w:val="FFFFFF"/>
                <w:sz w:val="21"/>
                <w:szCs w:val="21"/>
              </w:rPr>
              <w:t xml:space="preserve">Model</w:t>
            </w:r>
          </w:p>
        </w:tc>
        <w:tc>
          <w:tcPr>
            <w:tcW w:type="dxa" w:w="1500"/>
            <w:shd w:fill="2F5496" w:color="auto" w:val="clear"/>
          </w:tcPr>
          <w:p>
            <w:pPr>
              <w:jc w:val="center"/>
            </w:pPr>
            <w:r>
              <w:rPr>
                <w:b/>
                <w:bCs/>
                <w:color w:val="FFFFFF"/>
                <w:sz w:val="21"/>
                <w:szCs w:val="21"/>
              </w:rPr>
              <w:t xml:space="preserve">CV Accuracy</w:t>
            </w:r>
          </w:p>
        </w:tc>
        <w:tc>
          <w:tcPr>
            <w:tcW w:type="dxa" w:w="1500"/>
            <w:shd w:fill="2F5496" w:color="auto" w:val="clear"/>
          </w:tcPr>
          <w:p>
            <w:pPr>
              <w:jc w:val="center"/>
            </w:pPr>
            <w:r>
              <w:rPr>
                <w:b/>
                <w:bCs/>
                <w:color w:val="FFFFFF"/>
                <w:sz w:val="21"/>
                <w:szCs w:val="21"/>
              </w:rPr>
              <w:t xml:space="preserve">CV Precision</w:t>
            </w:r>
          </w:p>
        </w:tc>
        <w:tc>
          <w:tcPr>
            <w:tcW w:type="dxa" w:w="1300"/>
            <w:shd w:fill="2F5496" w:color="auto" w:val="clear"/>
          </w:tcPr>
          <w:p>
            <w:pPr>
              <w:jc w:val="center"/>
            </w:pPr>
            <w:r>
              <w:rPr>
                <w:b/>
                <w:bCs/>
                <w:color w:val="FFFFFF"/>
                <w:sz w:val="21"/>
                <w:szCs w:val="21"/>
              </w:rPr>
              <w:t xml:space="preserve">CV Recall</w:t>
            </w:r>
          </w:p>
        </w:tc>
        <w:tc>
          <w:tcPr>
            <w:tcW w:type="dxa" w:w="1100"/>
            <w:shd w:fill="2F5496" w:color="auto" w:val="clear"/>
          </w:tcPr>
          <w:p>
            <w:pPr>
              <w:jc w:val="center"/>
            </w:pPr>
            <w:r>
              <w:rPr>
                <w:b/>
                <w:bCs/>
                <w:color w:val="FFFFFF"/>
                <w:sz w:val="21"/>
                <w:szCs w:val="21"/>
              </w:rPr>
              <w:t xml:space="preserve">CV F1</w:t>
            </w:r>
          </w:p>
        </w:tc>
        <w:tc>
          <w:tcPr>
            <w:tcW w:type="dxa" w:w="1400"/>
            <w:shd w:fill="2F5496" w:color="auto" w:val="clear"/>
          </w:tcPr>
          <w:p>
            <w:pPr>
              <w:jc w:val="center"/>
            </w:pPr>
            <w:r>
              <w:rPr>
                <w:b/>
                <w:bCs/>
                <w:color w:val="FFFFFF"/>
                <w:sz w:val="21"/>
                <w:szCs w:val="21"/>
              </w:rPr>
              <w:t xml:space="preserve">CV ROC-AUC</w:t>
            </w:r>
          </w:p>
        </w:tc>
      </w:tr>
      <w:tr>
        <w:tc>
          <w:tcPr>
            <w:tcW w:type="dxa" w:w="2600"/>
          </w:tcPr>
          <w:p>
            <w:pPr>
              <w:jc w:val="left"/>
            </w:pPr>
            <w:r>
              <w:rPr>
                <w:b w:val="false"/>
                <w:bCs w:val="false"/>
                <w:sz w:val="21"/>
                <w:szCs w:val="21"/>
              </w:rPr>
              <w:t xml:space="preserve">Random Forest</w:t>
            </w:r>
          </w:p>
        </w:tc>
        <w:tc>
          <w:tcPr>
            <w:tcW w:type="dxa" w:w="1500"/>
            <w:shd w:fill="C6EFCE" w:color="auto" w:val="clear"/>
          </w:tcPr>
          <w:p>
            <w:pPr>
              <w:jc w:val="center"/>
            </w:pPr>
            <w:r>
              <w:rPr>
                <w:b w:val="false"/>
                <w:bCs w:val="false"/>
                <w:sz w:val="21"/>
                <w:szCs w:val="21"/>
              </w:rPr>
              <w:t xml:space="preserve">0.790</w:t>
            </w:r>
          </w:p>
        </w:tc>
        <w:tc>
          <w:tcPr>
            <w:tcW w:type="dxa" w:w="1500"/>
            <w:shd w:fill="C6EFCE" w:color="auto" w:val="clear"/>
          </w:tcPr>
          <w:p>
            <w:pPr>
              <w:jc w:val="center"/>
            </w:pPr>
            <w:r>
              <w:rPr>
                <w:b w:val="false"/>
                <w:bCs w:val="false"/>
                <w:sz w:val="21"/>
                <w:szCs w:val="21"/>
              </w:rPr>
              <w:t xml:space="preserve">0.201</w:t>
            </w:r>
          </w:p>
        </w:tc>
        <w:tc>
          <w:tcPr>
            <w:tcW w:type="dxa" w:w="1300"/>
          </w:tcPr>
          <w:p>
            <w:pPr>
              <w:jc w:val="center"/>
            </w:pPr>
            <w:r>
              <w:rPr>
                <w:b w:val="false"/>
                <w:bCs w:val="false"/>
                <w:sz w:val="21"/>
                <w:szCs w:val="21"/>
              </w:rPr>
              <w:t xml:space="preserve">0.533</w:t>
            </w:r>
          </w:p>
        </w:tc>
        <w:tc>
          <w:tcPr>
            <w:tcW w:type="dxa" w:w="1100"/>
            <w:shd w:fill="C6EFCE" w:color="auto" w:val="clear"/>
          </w:tcPr>
          <w:p>
            <w:pPr>
              <w:jc w:val="center"/>
            </w:pPr>
            <w:r>
              <w:rPr>
                <w:b w:val="false"/>
                <w:bCs w:val="false"/>
                <w:sz w:val="21"/>
                <w:szCs w:val="21"/>
              </w:rPr>
              <w:t xml:space="preserve">0.292</w:t>
            </w:r>
          </w:p>
        </w:tc>
        <w:tc>
          <w:tcPr>
            <w:tcW w:type="dxa" w:w="1400"/>
            <w:shd w:fill="C6EFCE" w:color="auto" w:val="clear"/>
          </w:tcPr>
          <w:p>
            <w:pPr>
              <w:jc w:val="center"/>
            </w:pPr>
            <w:r>
              <w:rPr>
                <w:b w:val="false"/>
                <w:bCs w:val="false"/>
                <w:sz w:val="21"/>
                <w:szCs w:val="21"/>
              </w:rPr>
              <w:t xml:space="preserve">0.744</w:t>
            </w:r>
          </w:p>
        </w:tc>
      </w:tr>
      <w:tr>
        <w:tc>
          <w:tcPr>
            <w:tcW w:type="dxa" w:w="2600"/>
          </w:tcPr>
          <w:p>
            <w:pPr>
              <w:jc w:val="left"/>
            </w:pPr>
            <w:r>
              <w:rPr>
                <w:b w:val="false"/>
                <w:bCs w:val="false"/>
                <w:sz w:val="21"/>
                <w:szCs w:val="21"/>
              </w:rPr>
              <w:t xml:space="preserve">Logistic Regression</w:t>
            </w:r>
          </w:p>
        </w:tc>
        <w:tc>
          <w:tcPr>
            <w:tcW w:type="dxa" w:w="1500"/>
          </w:tcPr>
          <w:p>
            <w:pPr>
              <w:jc w:val="center"/>
            </w:pPr>
            <w:r>
              <w:rPr>
                <w:b w:val="false"/>
                <w:bCs w:val="false"/>
                <w:sz w:val="21"/>
                <w:szCs w:val="21"/>
              </w:rPr>
              <w:t xml:space="preserve">0.640</w:t>
            </w:r>
          </w:p>
        </w:tc>
        <w:tc>
          <w:tcPr>
            <w:tcW w:type="dxa" w:w="1500"/>
          </w:tcPr>
          <w:p>
            <w:pPr>
              <w:jc w:val="center"/>
            </w:pPr>
            <w:r>
              <w:rPr>
                <w:b w:val="false"/>
                <w:bCs w:val="false"/>
                <w:sz w:val="21"/>
                <w:szCs w:val="21"/>
              </w:rPr>
              <w:t xml:space="preserve">0.135</w:t>
            </w:r>
          </w:p>
        </w:tc>
        <w:tc>
          <w:tcPr>
            <w:tcW w:type="dxa" w:w="1300"/>
            <w:shd w:fill="C6EFCE" w:color="auto" w:val="clear"/>
          </w:tcPr>
          <w:p>
            <w:pPr>
              <w:jc w:val="center"/>
            </w:pPr>
            <w:r>
              <w:rPr>
                <w:b w:val="false"/>
                <w:bCs w:val="false"/>
                <w:sz w:val="21"/>
                <w:szCs w:val="21"/>
              </w:rPr>
              <w:t xml:space="preserve">0.632</w:t>
            </w:r>
          </w:p>
        </w:tc>
        <w:tc>
          <w:tcPr>
            <w:tcW w:type="dxa" w:w="1100"/>
          </w:tcPr>
          <w:p>
            <w:pPr>
              <w:jc w:val="center"/>
            </w:pPr>
            <w:r>
              <w:rPr>
                <w:b w:val="false"/>
                <w:bCs w:val="false"/>
                <w:sz w:val="21"/>
                <w:szCs w:val="21"/>
              </w:rPr>
              <w:t xml:space="preserve">0.223</w:t>
            </w:r>
          </w:p>
        </w:tc>
        <w:tc>
          <w:tcPr>
            <w:tcW w:type="dxa" w:w="1400"/>
          </w:tcPr>
          <w:p>
            <w:pPr>
              <w:jc w:val="center"/>
            </w:pPr>
            <w:r>
              <w:rPr>
                <w:b w:val="false"/>
                <w:bCs w:val="false"/>
                <w:sz w:val="21"/>
                <w:szCs w:val="21"/>
              </w:rPr>
              <w:t xml:space="preserve">0.695</w:t>
            </w:r>
          </w:p>
        </w:tc>
      </w:tr>
    </w:tbl>
    <w:p>
      <w:pPr>
        <w:spacing w:after="200"/>
      </w:pPr>
    </w:p>
    <w:p>
      <w:pPr>
        <w:pStyle w:val="Heading2"/>
        <w:spacing w:after="150" w:before="300"/>
      </w:pPr>
      <w:r>
        <w:t xml:space="preserve">6.3 Final Model Selection (Deliverable)</w:t>
      </w:r>
    </w:p>
    <w:p>
      <w:pPr>
        <w:spacing w:after="150"/>
      </w:pPr>
      <w:r>
        <w:rPr>
          <w:b/>
          <w:bCs/>
          <w:sz w:val="22"/>
          <w:szCs w:val="22"/>
        </w:rPr>
        <w:t xml:space="preserve">Regression: </w:t>
      </w:r>
      <w:r>
        <w:rPr>
          <w:sz w:val="22"/>
          <w:szCs w:val="22"/>
        </w:rPr>
        <w:t xml:space="preserve">Random Forest Regressor wins on every cross-validated metric (CV R² = 0.252 vs. Linear Regression's 0.223, with similarly lower MAE and RMSE), and this holds up on the final held-out test set (R² = 0.268, MAE = 5.128, RMSE = 7.969). This is consistent with Section 1 — non-linear, tree-based models handle this problem better than a straight line can.</w:t>
      </w:r>
    </w:p>
    <w:p>
      <w:pPr>
        <w:spacing w:after="150"/>
      </w:pPr>
      <w:r>
        <w:rPr>
          <w:b/>
          <w:bCs/>
          <w:sz w:val="22"/>
          <w:szCs w:val="22"/>
        </w:rPr>
        <w:t xml:space="preserve">Classification — a genuinely interesting side-finding: </w:t>
      </w:r>
      <w:r>
        <w:rPr>
          <w:sz w:val="22"/>
          <w:szCs w:val="22"/>
        </w:rPr>
        <w:t xml:space="preserve">Random Forest again wins on ROC-AUC (0.744 vs. Logistic Regression's 0.695) and accuracy (0.790 vs. 0.640). But notice something different from Section 2 here — this Random Forest's recall (0.533) is much healthier than the near-zero recall (0.202 in the CV table, and as low as 0.06 in an earlier unrestricted run) seen previously.</w:t>
      </w:r>
    </w:p>
    <w:p>
      <w:pPr>
        <w:spacing w:after="150"/>
      </w:pPr>
      <w:r>
        <w:rPr>
          <w:sz w:val="22"/>
          <w:szCs w:val="22"/>
        </w:rPr>
        <w:t xml:space="preserve">The difference is max_depth=10: capping tree depth stops the model from carving out tiny, majority-class-only leaves that ignore the rare "late" cases entirely. Regularizing the model didn't just make it faster — it made it substantially fairer to the minority class it was previously ignoring. Logistic Regression still edges it out on recall (0.632), so the same business-priority framing from Section 2 still applies: use Random Forest for the best overall ranking/accuracy, Logistic Regression when catching more true late orders matters most — but the gap between them is now much smaller than it was with an unregularized model.</w:t>
      </w:r>
    </w:p>
    <w:p>
      <w:pPr>
        <w:pStyle w:val="Heading3"/>
        <w:spacing w:after="100" w:before="200"/>
      </w:pPr>
      <w:r>
        <w:t xml:space="preserve">Final Held-Out Test Set Performance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shd w:fill="2F5496" w:color="auto" w:val="clear"/>
          </w:tcPr>
          <w:p>
            <w:pPr>
              <w:jc w:val="center"/>
            </w:pPr>
            <w:r>
              <w:rPr>
                <w:b/>
                <w:bCs/>
                <w:color w:val="FFFFFF"/>
                <w:sz w:val="21"/>
                <w:szCs w:val="21"/>
              </w:rPr>
              <w:t xml:space="preserve">Pipeline</w:t>
            </w:r>
          </w:p>
        </w:tc>
        <w:tc>
          <w:tcPr>
            <w:tcW w:type="dxa" w:w="2000"/>
            <w:shd w:fill="2F5496" w:color="auto" w:val="clear"/>
          </w:tcPr>
          <w:p>
            <w:pPr>
              <w:jc w:val="center"/>
            </w:pPr>
            <w:r>
              <w:rPr>
                <w:b/>
                <w:bCs/>
                <w:color w:val="FFFFFF"/>
                <w:sz w:val="21"/>
                <w:szCs w:val="21"/>
              </w:rPr>
              <w:t xml:space="preserve">Metric</w:t>
            </w:r>
          </w:p>
        </w:tc>
        <w:tc>
          <w:tcPr>
            <w:tcW w:type="dxa" w:w="2000"/>
            <w:shd w:fill="2F5496" w:color="auto" w:val="clear"/>
          </w:tcPr>
          <w:p>
            <w:pPr>
              <w:jc w:val="center"/>
            </w:pPr>
            <w:r>
              <w:rPr>
                <w:b/>
                <w:bCs/>
                <w:color w:val="FFFFFF"/>
                <w:sz w:val="21"/>
                <w:szCs w:val="21"/>
              </w:rPr>
              <w:t xml:space="preserve">Score</w:t>
            </w:r>
          </w:p>
        </w:tc>
      </w:tr>
      <w:tr>
        <w:tc>
          <w:tcPr>
            <w:tcW w:type="dxa" w:w="3000"/>
          </w:tcPr>
          <w:p>
            <w:pPr>
              <w:jc w:val="left"/>
            </w:pPr>
            <w:r>
              <w:rPr>
                <w:b w:val="false"/>
                <w:bCs w:val="false"/>
                <w:sz w:val="21"/>
                <w:szCs w:val="21"/>
              </w:rPr>
              <w:t xml:space="preserve">Regression (Random Forest)</w:t>
            </w:r>
          </w:p>
        </w:tc>
        <w:tc>
          <w:tcPr>
            <w:tcW w:type="dxa" w:w="2000"/>
          </w:tcPr>
          <w:p>
            <w:pPr>
              <w:jc w:val="center"/>
            </w:pPr>
            <w:r>
              <w:rPr>
                <w:b w:val="false"/>
                <w:bCs w:val="false"/>
                <w:sz w:val="21"/>
                <w:szCs w:val="21"/>
              </w:rPr>
              <w:t xml:space="preserve">MAE</w:t>
            </w:r>
          </w:p>
        </w:tc>
        <w:tc>
          <w:tcPr>
            <w:tcW w:type="dxa" w:w="2000"/>
          </w:tcPr>
          <w:p>
            <w:pPr>
              <w:jc w:val="center"/>
            </w:pPr>
            <w:r>
              <w:rPr>
                <w:b w:val="false"/>
                <w:bCs w:val="false"/>
                <w:sz w:val="21"/>
                <w:szCs w:val="21"/>
              </w:rPr>
              <w:t xml:space="preserve">5.128</w:t>
            </w:r>
          </w:p>
        </w:tc>
      </w:tr>
      <w:tr>
        <w:tc>
          <w:tcPr>
            <w:tcW w:type="dxa" w:w="3000"/>
          </w:tcPr>
          <w:p>
            <w:pPr>
              <w:jc w:val="left"/>
            </w:pPr>
            <w:r>
              <w:rPr>
                <w:b w:val="false"/>
                <w:bCs w:val="false"/>
                <w:sz w:val="21"/>
                <w:szCs w:val="21"/>
              </w:rPr>
              <w:t xml:space="preserve">Regression (Random Forest)</w:t>
            </w:r>
          </w:p>
        </w:tc>
        <w:tc>
          <w:tcPr>
            <w:tcW w:type="dxa" w:w="2000"/>
          </w:tcPr>
          <w:p>
            <w:pPr>
              <w:jc w:val="center"/>
            </w:pPr>
            <w:r>
              <w:rPr>
                <w:b w:val="false"/>
                <w:bCs w:val="false"/>
                <w:sz w:val="21"/>
                <w:szCs w:val="21"/>
              </w:rPr>
              <w:t xml:space="preserve">RMSE</w:t>
            </w:r>
          </w:p>
        </w:tc>
        <w:tc>
          <w:tcPr>
            <w:tcW w:type="dxa" w:w="2000"/>
          </w:tcPr>
          <w:p>
            <w:pPr>
              <w:jc w:val="center"/>
            </w:pPr>
            <w:r>
              <w:rPr>
                <w:b w:val="false"/>
                <w:bCs w:val="false"/>
                <w:sz w:val="21"/>
                <w:szCs w:val="21"/>
              </w:rPr>
              <w:t xml:space="preserve">7.969</w:t>
            </w:r>
          </w:p>
        </w:tc>
      </w:tr>
      <w:tr>
        <w:tc>
          <w:tcPr>
            <w:tcW w:type="dxa" w:w="3000"/>
          </w:tcPr>
          <w:p>
            <w:pPr>
              <w:jc w:val="left"/>
            </w:pPr>
            <w:r>
              <w:rPr>
                <w:b w:val="false"/>
                <w:bCs w:val="false"/>
                <w:sz w:val="21"/>
                <w:szCs w:val="21"/>
              </w:rPr>
              <w:t xml:space="preserve">Regression (Random Forest)</w:t>
            </w:r>
          </w:p>
        </w:tc>
        <w:tc>
          <w:tcPr>
            <w:tcW w:type="dxa" w:w="2000"/>
          </w:tcPr>
          <w:p>
            <w:pPr>
              <w:jc w:val="center"/>
            </w:pPr>
            <w:r>
              <w:rPr>
                <w:b w:val="false"/>
                <w:bCs w:val="false"/>
                <w:sz w:val="21"/>
                <w:szCs w:val="21"/>
              </w:rPr>
              <w:t xml:space="preserve">R²</w:t>
            </w:r>
          </w:p>
        </w:tc>
        <w:tc>
          <w:tcPr>
            <w:tcW w:type="dxa" w:w="2000"/>
          </w:tcPr>
          <w:p>
            <w:pPr>
              <w:jc w:val="center"/>
            </w:pPr>
            <w:r>
              <w:rPr>
                <w:b w:val="false"/>
                <w:bCs w:val="false"/>
                <w:sz w:val="21"/>
                <w:szCs w:val="21"/>
              </w:rPr>
              <w:t xml:space="preserve">0.268</w:t>
            </w:r>
          </w:p>
        </w:tc>
      </w:tr>
      <w:tr>
        <w:tc>
          <w:tcPr>
            <w:tcW w:type="dxa" w:w="3000"/>
          </w:tcPr>
          <w:p>
            <w:pPr>
              <w:jc w:val="left"/>
            </w:pPr>
            <w:r>
              <w:rPr>
                <w:b w:val="false"/>
                <w:bCs w:val="false"/>
                <w:sz w:val="21"/>
                <w:szCs w:val="21"/>
              </w:rPr>
              <w:t xml:space="preserve">Classification (Random Forest)</w:t>
            </w:r>
          </w:p>
        </w:tc>
        <w:tc>
          <w:tcPr>
            <w:tcW w:type="dxa" w:w="2000"/>
          </w:tcPr>
          <w:p>
            <w:pPr>
              <w:jc w:val="center"/>
            </w:pPr>
            <w:r>
              <w:rPr>
                <w:b w:val="false"/>
                <w:bCs w:val="false"/>
                <w:sz w:val="21"/>
                <w:szCs w:val="21"/>
              </w:rPr>
              <w:t xml:space="preserve">Accuracy</w:t>
            </w:r>
          </w:p>
        </w:tc>
        <w:tc>
          <w:tcPr>
            <w:tcW w:type="dxa" w:w="2000"/>
          </w:tcPr>
          <w:p>
            <w:pPr>
              <w:jc w:val="center"/>
            </w:pPr>
            <w:r>
              <w:rPr>
                <w:b w:val="false"/>
                <w:bCs w:val="false"/>
                <w:sz w:val="21"/>
                <w:szCs w:val="21"/>
              </w:rPr>
              <w:t xml:space="preserve">0.780</w:t>
            </w:r>
          </w:p>
        </w:tc>
      </w:tr>
      <w:tr>
        <w:tc>
          <w:tcPr>
            <w:tcW w:type="dxa" w:w="3000"/>
          </w:tcPr>
          <w:p>
            <w:pPr>
              <w:jc w:val="left"/>
            </w:pPr>
            <w:r>
              <w:rPr>
                <w:b w:val="false"/>
                <w:bCs w:val="false"/>
                <w:sz w:val="21"/>
                <w:szCs w:val="21"/>
              </w:rPr>
              <w:t xml:space="preserve">Classification (Random Forest)</w:t>
            </w:r>
          </w:p>
        </w:tc>
        <w:tc>
          <w:tcPr>
            <w:tcW w:type="dxa" w:w="2000"/>
          </w:tcPr>
          <w:p>
            <w:pPr>
              <w:jc w:val="center"/>
            </w:pPr>
            <w:r>
              <w:rPr>
                <w:b w:val="false"/>
                <w:bCs w:val="false"/>
                <w:sz w:val="21"/>
                <w:szCs w:val="21"/>
              </w:rPr>
              <w:t xml:space="preserve">Precision</w:t>
            </w:r>
          </w:p>
        </w:tc>
        <w:tc>
          <w:tcPr>
            <w:tcW w:type="dxa" w:w="2000"/>
          </w:tcPr>
          <w:p>
            <w:pPr>
              <w:jc w:val="center"/>
            </w:pPr>
            <w:r>
              <w:rPr>
                <w:b w:val="false"/>
                <w:bCs w:val="false"/>
                <w:sz w:val="21"/>
                <w:szCs w:val="21"/>
              </w:rPr>
              <w:t xml:space="preserve">0.188</w:t>
            </w:r>
          </w:p>
        </w:tc>
      </w:tr>
      <w:tr>
        <w:tc>
          <w:tcPr>
            <w:tcW w:type="dxa" w:w="3000"/>
          </w:tcPr>
          <w:p>
            <w:pPr>
              <w:jc w:val="left"/>
            </w:pPr>
            <w:r>
              <w:rPr>
                <w:b w:val="false"/>
                <w:bCs w:val="false"/>
                <w:sz w:val="21"/>
                <w:szCs w:val="21"/>
              </w:rPr>
              <w:t xml:space="preserve">Classification (Random Forest)</w:t>
            </w:r>
          </w:p>
        </w:tc>
        <w:tc>
          <w:tcPr>
            <w:tcW w:type="dxa" w:w="2000"/>
          </w:tcPr>
          <w:p>
            <w:pPr>
              <w:jc w:val="center"/>
            </w:pPr>
            <w:r>
              <w:rPr>
                <w:b w:val="false"/>
                <w:bCs w:val="false"/>
                <w:sz w:val="21"/>
                <w:szCs w:val="21"/>
              </w:rPr>
              <w:t xml:space="preserve">Recall</w:t>
            </w:r>
          </w:p>
        </w:tc>
        <w:tc>
          <w:tcPr>
            <w:tcW w:type="dxa" w:w="2000"/>
          </w:tcPr>
          <w:p>
            <w:pPr>
              <w:jc w:val="center"/>
            </w:pPr>
            <w:r>
              <w:rPr>
                <w:b w:val="false"/>
                <w:bCs w:val="false"/>
                <w:sz w:val="21"/>
                <w:szCs w:val="21"/>
              </w:rPr>
              <w:t xml:space="preserve">0.535</w:t>
            </w:r>
          </w:p>
        </w:tc>
      </w:tr>
      <w:tr>
        <w:tc>
          <w:tcPr>
            <w:tcW w:type="dxa" w:w="3000"/>
          </w:tcPr>
          <w:p>
            <w:pPr>
              <w:jc w:val="left"/>
            </w:pPr>
            <w:r>
              <w:rPr>
                <w:b w:val="false"/>
                <w:bCs w:val="false"/>
                <w:sz w:val="21"/>
                <w:szCs w:val="21"/>
              </w:rPr>
              <w:t xml:space="preserve">Classification (Random Forest)</w:t>
            </w:r>
          </w:p>
        </w:tc>
        <w:tc>
          <w:tcPr>
            <w:tcW w:type="dxa" w:w="2000"/>
          </w:tcPr>
          <w:p>
            <w:pPr>
              <w:jc w:val="center"/>
            </w:pPr>
            <w:r>
              <w:rPr>
                <w:b w:val="false"/>
                <w:bCs w:val="false"/>
                <w:sz w:val="21"/>
                <w:szCs w:val="21"/>
              </w:rPr>
              <w:t xml:space="preserve">F1</w:t>
            </w:r>
          </w:p>
        </w:tc>
        <w:tc>
          <w:tcPr>
            <w:tcW w:type="dxa" w:w="2000"/>
          </w:tcPr>
          <w:p>
            <w:pPr>
              <w:jc w:val="center"/>
            </w:pPr>
            <w:r>
              <w:rPr>
                <w:b w:val="false"/>
                <w:bCs w:val="false"/>
                <w:sz w:val="21"/>
                <w:szCs w:val="21"/>
              </w:rPr>
              <w:t xml:space="preserve">0.278</w:t>
            </w:r>
          </w:p>
        </w:tc>
      </w:tr>
      <w:tr>
        <w:tc>
          <w:tcPr>
            <w:tcW w:type="dxa" w:w="3000"/>
          </w:tcPr>
          <w:p>
            <w:pPr>
              <w:jc w:val="left"/>
            </w:pPr>
            <w:r>
              <w:rPr>
                <w:b w:val="false"/>
                <w:bCs w:val="false"/>
                <w:sz w:val="21"/>
                <w:szCs w:val="21"/>
              </w:rPr>
              <w:t xml:space="preserve">Classification (Random Forest)</w:t>
            </w:r>
          </w:p>
        </w:tc>
        <w:tc>
          <w:tcPr>
            <w:tcW w:type="dxa" w:w="2000"/>
          </w:tcPr>
          <w:p>
            <w:pPr>
              <w:jc w:val="center"/>
            </w:pPr>
            <w:r>
              <w:rPr>
                <w:b w:val="false"/>
                <w:bCs w:val="false"/>
                <w:sz w:val="21"/>
                <w:szCs w:val="21"/>
              </w:rPr>
              <w:t xml:space="preserve">ROC-AUC</w:t>
            </w:r>
          </w:p>
        </w:tc>
        <w:tc>
          <w:tcPr>
            <w:tcW w:type="dxa" w:w="2000"/>
          </w:tcPr>
          <w:p>
            <w:pPr>
              <w:jc w:val="center"/>
            </w:pPr>
            <w:r>
              <w:rPr>
                <w:b w:val="false"/>
                <w:bCs w:val="false"/>
                <w:sz w:val="21"/>
                <w:szCs w:val="21"/>
              </w:rPr>
              <w:t xml:space="preserve">0.745</w:t>
            </w:r>
          </w:p>
        </w:tc>
      </w:tr>
    </w:tbl>
    <w:p>
      <w:pPr>
        <w:spacing w:after="200"/>
      </w:pPr>
    </w:p>
    <w:p>
      <w:pPr>
        <w:spacing w:after="150"/>
      </w:pPr>
      <w:r>
        <w:rPr>
          <w:sz w:val="22"/>
          <w:szCs w:val="22"/>
        </w:rPr>
        <w:t xml:space="preserve">Both final pipelines are single, self-contained objects — each one bundles its own preprocessing recipe with its trained model. That means either one could be saved (e.g. with joblib.dump) and reused later on brand-new orders without rewriting a single line of preprocessing code.</w:t>
      </w:r>
    </w:p>
    <w:p>
      <w:pPr>
        <w:pStyle w:val="Heading1"/>
        <w:spacing w:after="200" w:before="400"/>
      </w:pPr>
      <w:r>
        <w:t xml:space="preserve">7. Summary of Winning Models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tblGrid>
      <w:tr>
        <w:trPr>
          <w:tblHeader/>
        </w:trPr>
        <w:tc>
          <w:tcPr>
            <w:tcW w:type="dxa" w:w="2800"/>
            <w:shd w:fill="2F5496" w:color="auto" w:val="clear"/>
          </w:tcPr>
          <w:p>
            <w:pPr>
              <w:jc w:val="center"/>
            </w:pPr>
            <w:r>
              <w:rPr>
                <w:b/>
                <w:bCs/>
                <w:color w:val="FFFFFF"/>
                <w:sz w:val="21"/>
                <w:szCs w:val="21"/>
              </w:rPr>
              <w:t xml:space="preserve">Pillar</w:t>
            </w:r>
          </w:p>
        </w:tc>
        <w:tc>
          <w:tcPr>
            <w:tcW w:type="dxa" w:w="2800"/>
            <w:shd w:fill="2F5496" w:color="auto" w:val="clear"/>
          </w:tcPr>
          <w:p>
            <w:pPr>
              <w:jc w:val="center"/>
            </w:pPr>
            <w:r>
              <w:rPr>
                <w:b/>
                <w:bCs/>
                <w:color w:val="FFFFFF"/>
                <w:sz w:val="21"/>
                <w:szCs w:val="21"/>
              </w:rPr>
              <w:t xml:space="preserve">Winning Model</w:t>
            </w:r>
          </w:p>
        </w:tc>
        <w:tc>
          <w:tcPr>
            <w:tcW w:type="dxa" w:w="2400"/>
            <w:shd w:fill="2F5496" w:color="auto" w:val="clear"/>
          </w:tcPr>
          <w:p>
            <w:pPr>
              <w:jc w:val="center"/>
            </w:pPr>
            <w:r>
              <w:rPr>
                <w:b/>
                <w:bCs/>
                <w:color w:val="FFFFFF"/>
                <w:sz w:val="21"/>
                <w:szCs w:val="21"/>
              </w:rPr>
              <w:t xml:space="preserve">Key Metric</w:t>
            </w:r>
          </w:p>
        </w:tc>
      </w:tr>
      <w:tr>
        <w:tc>
          <w:tcPr>
            <w:tcW w:type="dxa" w:w="2800"/>
          </w:tcPr>
          <w:p>
            <w:pPr>
              <w:jc w:val="left"/>
            </w:pPr>
            <w:r>
              <w:rPr>
                <w:b w:val="false"/>
                <w:bCs w:val="false"/>
                <w:sz w:val="21"/>
                <w:szCs w:val="21"/>
              </w:rPr>
              <w:t xml:space="preserve">Regression (delivery time)</w:t>
            </w:r>
          </w:p>
        </w:tc>
        <w:tc>
          <w:tcPr>
            <w:tcW w:type="dxa" w:w="2800"/>
          </w:tcPr>
          <w:p>
            <w:pPr>
              <w:jc w:val="center"/>
            </w:pPr>
            <w:r>
              <w:rPr>
                <w:b w:val="false"/>
                <w:bCs w:val="false"/>
                <w:sz w:val="21"/>
                <w:szCs w:val="21"/>
              </w:rPr>
              <w:t xml:space="preserve">Random Forest Regressor</w:t>
            </w:r>
          </w:p>
        </w:tc>
        <w:tc>
          <w:tcPr>
            <w:tcW w:type="dxa" w:w="2400"/>
          </w:tcPr>
          <w:p>
            <w:pPr>
              <w:jc w:val="center"/>
            </w:pPr>
            <w:r>
              <w:rPr>
                <w:b w:val="false"/>
                <w:bCs w:val="false"/>
                <w:sz w:val="21"/>
                <w:szCs w:val="21"/>
              </w:rPr>
              <w:t xml:space="preserve">R² = 0.268 (test set)</w:t>
            </w:r>
          </w:p>
        </w:tc>
      </w:tr>
      <w:tr>
        <w:tc>
          <w:tcPr>
            <w:tcW w:type="dxa" w:w="2800"/>
          </w:tcPr>
          <w:p>
            <w:pPr>
              <w:jc w:val="left"/>
            </w:pPr>
            <w:r>
              <w:rPr>
                <w:b w:val="false"/>
                <w:bCs w:val="false"/>
                <w:sz w:val="21"/>
                <w:szCs w:val="21"/>
              </w:rPr>
              <w:t xml:space="preserve">Classification (late delivery)</w:t>
            </w:r>
          </w:p>
        </w:tc>
        <w:tc>
          <w:tcPr>
            <w:tcW w:type="dxa" w:w="2800"/>
          </w:tcPr>
          <w:p>
            <w:pPr>
              <w:jc w:val="center"/>
            </w:pPr>
            <w:r>
              <w:rPr>
                <w:b w:val="false"/>
                <w:bCs w:val="false"/>
                <w:sz w:val="21"/>
                <w:szCs w:val="21"/>
              </w:rPr>
              <w:t xml:space="preserve">Random Forest (context-dependent)</w:t>
            </w:r>
          </w:p>
        </w:tc>
        <w:tc>
          <w:tcPr>
            <w:tcW w:type="dxa" w:w="2400"/>
          </w:tcPr>
          <w:p>
            <w:pPr>
              <w:jc w:val="center"/>
            </w:pPr>
            <w:r>
              <w:rPr>
                <w:b w:val="false"/>
                <w:bCs w:val="false"/>
                <w:sz w:val="21"/>
                <w:szCs w:val="21"/>
              </w:rPr>
              <w:t xml:space="preserve">ROC-AUC = 0.745 / Recall = 0.535</w:t>
            </w:r>
          </w:p>
        </w:tc>
      </w:tr>
      <w:tr>
        <w:tc>
          <w:tcPr>
            <w:tcW w:type="dxa" w:w="2800"/>
          </w:tcPr>
          <w:p>
            <w:pPr>
              <w:jc w:val="left"/>
            </w:pPr>
            <w:r>
              <w:rPr>
                <w:b w:val="false"/>
                <w:bCs w:val="false"/>
                <w:sz w:val="21"/>
                <w:szCs w:val="21"/>
              </w:rPr>
              <w:t xml:space="preserve">Clustering (customer segments)</w:t>
            </w:r>
          </w:p>
        </w:tc>
        <w:tc>
          <w:tcPr>
            <w:tcW w:type="dxa" w:w="2800"/>
          </w:tcPr>
          <w:p>
            <w:pPr>
              <w:jc w:val="center"/>
            </w:pPr>
            <w:r>
              <w:rPr>
                <w:b w:val="false"/>
                <w:bCs w:val="false"/>
                <w:sz w:val="21"/>
                <w:szCs w:val="21"/>
              </w:rPr>
              <w:t xml:space="preserve">KMeans (k=4)</w:t>
            </w:r>
          </w:p>
        </w:tc>
        <w:tc>
          <w:tcPr>
            <w:tcW w:type="dxa" w:w="2400"/>
          </w:tcPr>
          <w:p>
            <w:pPr>
              <w:jc w:val="center"/>
            </w:pPr>
            <w:r>
              <w:rPr>
                <w:b w:val="false"/>
                <w:bCs w:val="false"/>
                <w:sz w:val="21"/>
                <w:szCs w:val="21"/>
              </w:rPr>
              <w:t xml:space="preserve">Silhouette = 0.2661</w:t>
            </w:r>
          </w:p>
        </w:tc>
      </w:tr>
      <w:tr>
        <w:tc>
          <w:tcPr>
            <w:tcW w:type="dxa" w:w="2800"/>
          </w:tcPr>
          <w:p>
            <w:pPr>
              <w:jc w:val="left"/>
            </w:pPr>
            <w:r>
              <w:rPr>
                <w:b w:val="false"/>
                <w:bCs w:val="false"/>
                <w:sz w:val="21"/>
                <w:szCs w:val="21"/>
              </w:rPr>
              <w:t xml:space="preserve">NLP (review sentiment)</w:t>
            </w:r>
          </w:p>
        </w:tc>
        <w:tc>
          <w:tcPr>
            <w:tcW w:type="dxa" w:w="2800"/>
          </w:tcPr>
          <w:p>
            <w:pPr>
              <w:jc w:val="center"/>
            </w:pPr>
            <w:r>
              <w:rPr>
                <w:b w:val="false"/>
                <w:bCs w:val="false"/>
                <w:sz w:val="21"/>
                <w:szCs w:val="21"/>
              </w:rPr>
              <w:t xml:space="preserve">Logistic Regression + TF-IDF</w:t>
            </w:r>
          </w:p>
        </w:tc>
        <w:tc>
          <w:tcPr>
            <w:tcW w:type="dxa" w:w="2400"/>
          </w:tcPr>
          <w:p>
            <w:pPr>
              <w:jc w:val="center"/>
            </w:pPr>
            <w:r>
              <w:rPr>
                <w:b w:val="false"/>
                <w:bCs w:val="false"/>
                <w:sz w:val="21"/>
                <w:szCs w:val="21"/>
              </w:rPr>
              <w:t xml:space="preserve">F1 = 0.929</w:t>
            </w:r>
          </w:p>
        </w:tc>
      </w:tr>
      <w:tr>
        <w:tc>
          <w:tcPr>
            <w:tcW w:type="dxa" w:w="2800"/>
          </w:tcPr>
          <w:p>
            <w:pPr>
              <w:jc w:val="left"/>
            </w:pPr>
            <w:r>
              <w:rPr>
                <w:b w:val="false"/>
                <w:bCs w:val="false"/>
                <w:sz w:val="21"/>
                <w:szCs w:val="21"/>
              </w:rPr>
              <w:t xml:space="preserve">Time-Series (sales forecast)</w:t>
            </w:r>
          </w:p>
        </w:tc>
        <w:tc>
          <w:tcPr>
            <w:tcW w:type="dxa" w:w="2800"/>
          </w:tcPr>
          <w:p>
            <w:pPr>
              <w:jc w:val="center"/>
            </w:pPr>
            <w:r>
              <w:rPr>
                <w:b w:val="false"/>
                <w:bCs w:val="false"/>
                <w:sz w:val="21"/>
                <w:szCs w:val="21"/>
              </w:rPr>
              <w:t xml:space="preserve">ARIMA</w:t>
            </w:r>
          </w:p>
        </w:tc>
        <w:tc>
          <w:tcPr>
            <w:tcW w:type="dxa" w:w="2400"/>
          </w:tcPr>
          <w:p>
            <w:pPr>
              <w:jc w:val="center"/>
            </w:pPr>
            <w:r>
              <w:rPr>
                <w:b w:val="false"/>
                <w:bCs w:val="false"/>
                <w:sz w:val="21"/>
                <w:szCs w:val="21"/>
              </w:rPr>
              <w:t xml:space="preserve">RMSE = R$281,940</w:t>
            </w:r>
          </w:p>
        </w:tc>
      </w:tr>
    </w:tbl>
    <w:p>
      <w:pPr>
        <w:spacing w:after="300"/>
      </w:pPr>
    </w:p>
    <w:p>
      <w:pPr>
        <w:spacing w:after="150"/>
      </w:pPr>
      <w:r>
        <w:rPr>
          <w:sz w:val="22"/>
          <w:szCs w:val="22"/>
        </w:rPr>
        <w:t xml:space="preserve">Across all four pillars, a consistent theme emerges: simple linear baselines are competitive and sometimes preferable for interpretability or recall-sensitive tasks, but tree-based ensembles (Random Forest) generally win on raw predictive accuracy whenever the underlying relationship is non-linear. Where uncertainty is inherent — delivery logistics, sparse text entities, or a short 20-month sales history — every section was deliberately honest about the limits of what the data could support, rather than overstating model confidence.</w:t>
      </w:r>
    </w:p>
    <w:p>
      <w:pPr>
        <w:spacing w:before="400"/>
      </w:pPr>
      <w:r>
        <w:rPr>
          <w:b/>
          <w:bCs/>
          <w:sz w:val="22"/>
          <w:szCs w:val="22"/>
        </w:rPr>
        <w:t xml:space="preserve">Full notebook and code: </w:t>
      </w:r>
      <w:hyperlink w:history="1" r:id="rIdcc3aw85xni8i1wgxqgyml">
        <w:r>
          <w:rPr>
            <w:rStyle w:val="Hyperlink"/>
            <w:sz w:val="22"/>
            <w:szCs w:val="22"/>
          </w:rPr>
          <w:t xml:space="preserve">https://github.com/rahulkantode26/Olist-E-Commerce-Data-Analysis-Project</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txhbabzcjgoxm6gvvz-f" Type="http://schemas.openxmlformats.org/officeDocument/2006/relationships/hyperlink" Target="https://github.com/rahulkantode26/Olist-E-Commerce-Data-Analysis-Project" TargetMode="External"/><Relationship Id="rIdcc3aw85xni8i1wgxqgyml" Type="http://schemas.openxmlformats.org/officeDocument/2006/relationships/hyperlink" Target="https://github.com/rahulkantode26/Olist-E-Commerce-Data-Analysis-Projec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2026-07-16T09:28:56.308Z</dcterms:created>
  <dcterms:modified xsi:type="dcterms:W3CDTF">2026-07-16T09:28:56.309Z</dcterms:modified>
</cp:coreProperties>
</file>

<file path=docProps/custom.xml><?xml version="1.0" encoding="utf-8"?>
<Properties xmlns="http://schemas.openxmlformats.org/officeDocument/2006/custom-properties" xmlns:vt="http://schemas.openxmlformats.org/officeDocument/2006/docPropsVTypes"/>
</file>