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17384B"/>
          <w:sz w:val="56"/>
        </w:rPr>
        <w:t>NETRAJYOTI AI</w:t>
      </w:r>
    </w:p>
    <w:p>
      <w:pPr>
        <w:jc w:val="center"/>
      </w:pPr>
      <w:r>
        <w:rPr>
          <w:rFonts w:ascii="Aptos" w:hAnsi="Aptos"/>
          <w:b w:val="0"/>
          <w:color w:val="008B7E"/>
          <w:sz w:val="26"/>
        </w:rPr>
        <w:t>High-Level Design (HLD) | Current Capstone Implementation and Future Controlled Scope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DF5FB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21"/>
              </w:rPr>
              <w:t>Scope statement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9"/>
              </w:rPr>
              <w:t>NetraJyoti is a Bengali-first deterministic eye-care guidance MVP. PostgreSQL is both the criteria repository for routing and the RAG knowledge store for route guidance. Java fixes the route; local Ollama can only explain that fixed route after Java validation. It is a capstone demonstration, not a clinical decision-support product.</w:t>
            </w:r>
          </w:p>
        </w:tc>
      </w:tr>
    </w:tbl>
    <w:p>
      <w:pPr>
        <w:spacing w:after="20"/>
      </w:pPr>
    </w:p>
    <w:p>
      <w:pPr>
        <w:spacing w:before="260" w:after="100"/>
      </w:pPr>
      <w:r>
        <w:rPr>
          <w:rFonts w:ascii="Aptos" w:hAnsi="Aptos"/>
          <w:b/>
          <w:color w:val="2F6FAF"/>
          <w:sz w:val="34"/>
        </w:rPr>
        <w:t>1. Architecture overview and current implementation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333"/>
            <w:shd w:fill="EDF5FB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84B"/>
                <w:sz w:val="17"/>
              </w:rPr>
              <w:t>React PWA</w:t>
              <w:br/>
              <w:t>Fixed codes only</w:t>
            </w:r>
          </w:p>
        </w:tc>
        <w:tc>
          <w:tcPr>
            <w:tcW w:type="dxa" w:w="2333"/>
            <w:shd w:fill="EDF5FB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84B"/>
                <w:sz w:val="17"/>
              </w:rPr>
              <w:t>Java API</w:t>
              <w:br/>
              <w:t>Validation</w:t>
            </w:r>
          </w:p>
        </w:tc>
        <w:tc>
          <w:tcPr>
            <w:tcW w:type="dxa" w:w="2333"/>
            <w:shd w:fill="E8F7F3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08B7E"/>
                <w:sz w:val="17"/>
              </w:rPr>
              <w:t>PostgreSQL</w:t>
              <w:br/>
              <w:t>Matching criteria</w:t>
            </w:r>
          </w:p>
        </w:tc>
        <w:tc>
          <w:tcPr>
            <w:tcW w:type="dxa" w:w="2333"/>
            <w:shd w:fill="FFF5DC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84B"/>
                <w:sz w:val="17"/>
              </w:rPr>
              <w:t>SafetyRoutingService</w:t>
              <w:br/>
              <w:t>Fixed route</w:t>
            </w:r>
          </w:p>
        </w:tc>
      </w:tr>
      <w:tr>
        <w:tc>
          <w:tcPr>
            <w:tcW w:type="dxa" w:w="2333"/>
            <w:shd w:fill="E8F7F3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08B7E"/>
                <w:sz w:val="17"/>
              </w:rPr>
              <w:t>PostgreSQL RAG</w:t>
              <w:br/>
              <w:t>Route guidance</w:t>
            </w:r>
          </w:p>
        </w:tc>
        <w:tc>
          <w:tcPr>
            <w:tcW w:type="dxa" w:w="2333"/>
            <w:shd w:fill="EDF5FB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84B"/>
                <w:sz w:val="17"/>
              </w:rPr>
              <w:t>Local Ollama</w:t>
              <w:br/>
              <w:t>Bengali explanation</w:t>
            </w:r>
          </w:p>
        </w:tc>
        <w:tc>
          <w:tcPr>
            <w:tcW w:type="dxa" w:w="2333"/>
            <w:shd w:fill="FFF5DC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84B"/>
                <w:sz w:val="17"/>
              </w:rPr>
              <w:t>Java safety policy</w:t>
              <w:br/>
              <w:t>Accept or fallback</w:t>
            </w:r>
          </w:p>
        </w:tc>
        <w:tc>
          <w:tcPr>
            <w:tcW w:type="dxa" w:w="2333"/>
            <w:shd w:fill="E8F7F3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08B7E"/>
                <w:sz w:val="17"/>
              </w:rPr>
              <w:t>Result UI</w:t>
              <w:br/>
              <w:t>Guidance and actions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E8F7F3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008B7E"/>
                <w:sz w:val="21"/>
              </w:rPr>
              <w:t>Diagram reading guide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9"/>
              </w:rPr>
              <w:t>The first row is the safety-critical route decision. The second row is post-route communication. Only structured route inputs and PostgreSQL criteria determine the selected route.</w:t>
            </w:r>
          </w:p>
        </w:tc>
      </w:tr>
    </w:tbl>
    <w:p>
      <w:pPr>
        <w:spacing w:after="20"/>
      </w:pPr>
    </w:p>
    <w:p>
      <w:pPr>
        <w:spacing w:before="160" w:after="100"/>
      </w:pPr>
      <w:r>
        <w:rPr>
          <w:rFonts w:ascii="Aptos" w:hAnsi="Aptos"/>
          <w:b/>
          <w:color w:val="17384B"/>
          <w:sz w:val="24"/>
        </w:rPr>
        <w:t>Current MVP logical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469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Layer</w:t>
            </w:r>
          </w:p>
        </w:tc>
        <w:tc>
          <w:tcPr>
            <w:tcW w:type="dxa" w:w="2491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Component</w:t>
            </w:r>
          </w:p>
        </w:tc>
        <w:tc>
          <w:tcPr>
            <w:tcW w:type="dxa" w:w="5184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Current responsibility</w:t>
            </w:r>
          </w:p>
        </w:tc>
      </w:tr>
      <w:tr>
        <w:tc>
          <w:tcPr>
            <w:tcW w:type="dxa" w:w="1469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Experience</w:t>
            </w:r>
          </w:p>
        </w:tc>
        <w:tc>
          <w:tcPr>
            <w:tcW w:type="dxa" w:w="2491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React + TypeScript PWA</w:t>
            </w:r>
          </w:p>
        </w:tc>
        <w:tc>
          <w:tcPr>
            <w:tcW w:type="dxa" w:w="518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Guided screening, local workflow state, selected symptoms, service direction, share/copy, and optional browser capabilities.</w:t>
            </w:r>
          </w:p>
        </w:tc>
      </w:tr>
      <w:tr>
        <w:tc>
          <w:tcPr>
            <w:tcW w:type="dxa" w:w="1469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Application</w:t>
            </w:r>
          </w:p>
        </w:tc>
        <w:tc>
          <w:tcPr>
            <w:tcW w:type="dxa" w:w="2491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Java 21 + Spring Boot REST API</w:t>
            </w:r>
          </w:p>
        </w:tc>
        <w:tc>
          <w:tcPr>
            <w:tcW w:type="dxa" w:w="518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Validates structured input, configures CORS/security, coordinates routing, feature flags, Ollama, validation, and fallback.</w:t>
            </w:r>
          </w:p>
        </w:tc>
      </w:tr>
      <w:tr>
        <w:tc>
          <w:tcPr>
            <w:tcW w:type="dxa" w:w="1469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Safety domain</w:t>
            </w:r>
          </w:p>
        </w:tc>
        <w:tc>
          <w:tcPr>
            <w:tcW w:type="dxa" w:w="2491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SafetyRoutingService</w:t>
            </w:r>
          </w:p>
        </w:tc>
        <w:tc>
          <w:tcPr>
            <w:tcW w:type="dxa" w:w="518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Retrieves matching PostgreSQL criteria and applies a fixed, reviewable route precedence.</w:t>
            </w:r>
          </w:p>
        </w:tc>
      </w:tr>
      <w:tr>
        <w:tc>
          <w:tcPr>
            <w:tcW w:type="dxa" w:w="1469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Data</w:t>
            </w:r>
          </w:p>
        </w:tc>
        <w:tc>
          <w:tcPr>
            <w:tcW w:type="dxa" w:w="2491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PostgreSQL + Spring JDBC/JPA</w:t>
            </w:r>
          </w:p>
        </w:tc>
        <w:tc>
          <w:tcPr>
            <w:tcW w:type="dxa" w:w="518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Stores pathways, criteria, Bengali guidance, and source references. Current seeds are DEMO_SIMULATED_NOT_FOR_CLINICAL_USE.</w:t>
            </w:r>
          </w:p>
        </w:tc>
      </w:tr>
      <w:tr>
        <w:tc>
          <w:tcPr>
            <w:tcW w:type="dxa" w:w="1469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AI explanation</w:t>
            </w:r>
          </w:p>
        </w:tc>
        <w:tc>
          <w:tcPr>
            <w:tcW w:type="dxa" w:w="2491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Local Ollama (optional)</w:t>
            </w:r>
          </w:p>
        </w:tc>
        <w:tc>
          <w:tcPr>
            <w:tcW w:type="dxa" w:w="518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Creates a short Bengali explanation from route-specific PostgreSQL guidance only after Java has fixed the route.</w:t>
            </w:r>
          </w:p>
        </w:tc>
      </w:tr>
      <w:tr>
        <w:tc>
          <w:tcPr>
            <w:tcW w:type="dxa" w:w="1469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Care navigation</w:t>
            </w:r>
          </w:p>
        </w:tc>
        <w:tc>
          <w:tcPr>
            <w:tcW w:type="dxa" w:w="2491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Frontend demo options</w:t>
            </w:r>
          </w:p>
        </w:tc>
        <w:tc>
          <w:tcPr>
            <w:tcW w:type="dxa" w:w="518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Shows demo PHC, eye-care, ASHA, and family-support direction; not a verified managed directory.</w:t>
            </w:r>
          </w:p>
        </w:tc>
      </w:tr>
    </w:tbl>
    <w:p>
      <w:pPr>
        <w:spacing w:after="20"/>
      </w:pPr>
    </w:p>
    <w:p>
      <w:pPr>
        <w:spacing w:before="260" w:after="100"/>
      </w:pPr>
      <w:r>
        <w:rPr>
          <w:rFonts w:ascii="Aptos" w:hAnsi="Aptos"/>
          <w:b/>
          <w:color w:val="2F6FAF"/>
          <w:sz w:val="34"/>
        </w:rPr>
        <w:t>2. Current request sequence</w:t>
      </w:r>
    </w:p>
    <w:p>
      <w:pPr>
        <w:spacing w:after="100" w:line="276" w:lineRule="auto"/>
      </w:pPr>
      <w:r>
        <w:rPr>
          <w:rFonts w:ascii="Aptos" w:hAnsi="Aptos"/>
          <w:b w:val="0"/>
          <w:color w:val="17384B"/>
          <w:sz w:val="20"/>
        </w:rPr>
        <w:t>Java makes the route decision before PostgreSQL RAG retrieval or any optional Ollama call. The sequence diagram in the published HLD shows the interaction; this table preserves the same sequence in the editable source.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080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Step</w:t>
            </w:r>
          </w:p>
        </w:tc>
        <w:tc>
          <w:tcPr>
            <w:tcW w:type="dxa" w:w="5328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Interaction</w:t>
            </w:r>
          </w:p>
        </w:tc>
        <w:tc>
          <w:tcPr>
            <w:tcW w:type="dxa" w:w="2736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Control</w:t>
            </w:r>
          </w:p>
        </w:tc>
      </w:tr>
      <w:tr>
        <w:tc>
          <w:tcPr>
            <w:tcW w:type="dxa" w:w="108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1-3</w:t>
            </w:r>
          </w:p>
        </w:tc>
        <w:tc>
          <w:tcPr>
            <w:tcW w:type="dxa" w:w="5328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React PWA sends structured route input to Java. Java retrieves matching PostgreSQL criteria, then fixes the route.</w:t>
            </w:r>
          </w:p>
        </w:tc>
        <w:tc>
          <w:tcPr>
            <w:tcW w:type="dxa" w:w="2736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Only Java and matching criteria decide the route.</w:t>
            </w:r>
          </w:p>
        </w:tc>
      </w:tr>
      <w:tr>
        <w:tc>
          <w:tcPr>
            <w:tcW w:type="dxa" w:w="108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4-5</w:t>
            </w:r>
          </w:p>
        </w:tc>
        <w:tc>
          <w:tcPr>
            <w:tcW w:type="dxa" w:w="5328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Java retrieves route-specific PostgreSQL RAG guidance and sources after the route is fixed.</w:t>
            </w:r>
          </w:p>
        </w:tc>
        <w:tc>
          <w:tcPr>
            <w:tcW w:type="dxa" w:w="2736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RAG cannot re-evaluate urgency.</w:t>
            </w:r>
          </w:p>
        </w:tc>
      </w:tr>
      <w:tr>
        <w:tc>
          <w:tcPr>
            <w:tcW w:type="dxa" w:w="108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6-7</w:t>
            </w:r>
          </w:p>
        </w:tc>
        <w:tc>
          <w:tcPr>
            <w:tcW w:type="dxa" w:w="5328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If enabled, Java sends only controlled route guidance to local Ollama and receives Bengali explanation.</w:t>
            </w:r>
          </w:p>
        </w:tc>
        <w:tc>
          <w:tcPr>
            <w:tcW w:type="dxa" w:w="2736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No free text, voice, patient details, precise location, photos, or records are sent.</w:t>
            </w:r>
          </w:p>
        </w:tc>
      </w:tr>
      <w:tr>
        <w:tc>
          <w:tcPr>
            <w:tcW w:type="dxa" w:w="108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8-10</w:t>
            </w:r>
          </w:p>
        </w:tc>
        <w:tc>
          <w:tcPr>
            <w:tcW w:type="dxa" w:w="5328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Java safety policy validates output, chooses fallback if necessary, and returns the fixed route plus one guidance source to UI.</w:t>
            </w:r>
          </w:p>
        </w:tc>
        <w:tc>
          <w:tcPr>
            <w:tcW w:type="dxa" w:w="2736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Validation/fallback cannot change route.</w:t>
            </w:r>
          </w:p>
        </w:tc>
      </w:tr>
    </w:tbl>
    <w:p>
      <w:pPr>
        <w:spacing w:after="20"/>
      </w:pPr>
    </w:p>
    <w:p>
      <w:pPr>
        <w:spacing w:before="260" w:after="100"/>
      </w:pPr>
      <w:r>
        <w:rPr>
          <w:rFonts w:ascii="Aptos" w:hAnsi="Aptos"/>
          <w:b/>
          <w:color w:val="2F6FAF"/>
          <w:sz w:val="34"/>
        </w:rPr>
        <w:t>3. Current safety boundary</w:t>
      </w:r>
    </w:p>
    <w:p>
      <w:pPr>
        <w:spacing w:after="100" w:line="276" w:lineRule="auto"/>
      </w:pPr>
      <w:r>
        <w:rPr>
          <w:rFonts w:ascii="Aptos" w:hAnsi="Aptos"/>
          <w:b w:val="0"/>
          <w:color w:val="17384B"/>
          <w:sz w:val="20"/>
        </w:rPr>
        <w:t>Only fixed concern codes, an explicit human-support request, and PostgreSQL criteria are allowed to affect routing. Optional Step 3A history is guidance context in the current demo and does not override the route.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c>
          <w:tcPr>
            <w:tcW w:type="dxa" w:w="2333"/>
            <w:shd w:fill="EDF5FB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84B"/>
                <w:sz w:val="17"/>
              </w:rPr>
              <w:t>Route inputs</w:t>
              <w:br/>
              <w:t>Concern codes + support request</w:t>
            </w:r>
          </w:p>
        </w:tc>
        <w:tc>
          <w:tcPr>
            <w:tcW w:type="dxa" w:w="2333"/>
            <w:shd w:fill="FFF5DC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84B"/>
                <w:sz w:val="17"/>
              </w:rPr>
              <w:t>Java + PostgreSQL</w:t>
              <w:br/>
              <w:t>Route is fixed</w:t>
            </w:r>
          </w:p>
        </w:tc>
        <w:tc>
          <w:tcPr>
            <w:tcW w:type="dxa" w:w="2333"/>
            <w:shd w:fill="E8F7F3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08B7E"/>
                <w:sz w:val="17"/>
              </w:rPr>
              <w:t>Post-route context</w:t>
              <w:br/>
              <w:t>RAG guidance only</w:t>
            </w:r>
          </w:p>
        </w:tc>
        <w:tc>
          <w:tcPr>
            <w:tcW w:type="dxa" w:w="2333"/>
            <w:shd w:fill="EDF5FB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84B"/>
                <w:sz w:val="17"/>
              </w:rPr>
              <w:t>Ollama + Java policy</w:t>
              <w:br/>
              <w:t>Explain or fallback</w:t>
            </w:r>
          </w:p>
        </w:tc>
      </w:tr>
      <w:tr>
        <w:tc>
          <w:tcPr>
            <w:tcW w:type="dxa" w:w="2333"/>
            <w:shd w:fill="FFF5DC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84B"/>
                <w:sz w:val="17"/>
              </w:rPr>
              <w:t>Route authority</w:t>
              <w:br/>
              <w:t>Java only</w:t>
            </w:r>
          </w:p>
        </w:tc>
        <w:tc>
          <w:tcPr>
            <w:tcW w:type="dxa" w:w="2333"/>
            <w:shd w:fill="E8F7F3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08B7E"/>
                <w:sz w:val="17"/>
              </w:rPr>
              <w:t>RAG timing</w:t>
              <w:br/>
              <w:t>After route only</w:t>
            </w:r>
          </w:p>
        </w:tc>
        <w:tc>
          <w:tcPr>
            <w:tcW w:type="dxa" w:w="2333"/>
            <w:shd w:fill="FFF5DC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17384B"/>
                <w:sz w:val="17"/>
              </w:rPr>
              <w:t>Output policy</w:t>
              <w:br/>
              <w:t>Safe or fallback</w:t>
            </w:r>
          </w:p>
        </w:tc>
        <w:tc>
          <w:tcPr>
            <w:tcW w:type="dxa" w:w="2333"/>
            <w:shd w:fill="E8F7F3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08B7E"/>
                <w:sz w:val="17"/>
              </w:rPr>
              <w:t>UI result</w:t>
              <w:br/>
              <w:t>Stable route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728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Safety rule</w:t>
            </w:r>
          </w:p>
        </w:tc>
        <w:tc>
          <w:tcPr>
            <w:tcW w:type="dxa" w:w="4824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Implemented control</w:t>
            </w:r>
          </w:p>
        </w:tc>
        <w:tc>
          <w:tcPr>
            <w:tcW w:type="dxa" w:w="2592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Result</w:t>
            </w:r>
          </w:p>
        </w:tc>
      </w:tr>
      <w:tr>
        <w:tc>
          <w:tcPr>
            <w:tcW w:type="dxa" w:w="1728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Route authority</w:t>
            </w:r>
          </w:p>
        </w:tc>
        <w:tc>
          <w:tcPr>
            <w:tcW w:type="dxa" w:w="482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Java evaluates PostgreSQL criteria with precedence: URGENT_IF_ANY, then ESCALATE_IF_ANY / explicit support request, then ROUTINE_IF_ANY.</w:t>
            </w:r>
          </w:p>
        </w:tc>
        <w:tc>
          <w:tcPr>
            <w:tcW w:type="dxa" w:w="259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Ollama never selects or changes a route.</w:t>
            </w:r>
          </w:p>
        </w:tc>
      </w:tr>
      <w:tr>
        <w:tc>
          <w:tcPr>
            <w:tcW w:type="dxa" w:w="1728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RAG timing</w:t>
            </w:r>
          </w:p>
        </w:tc>
        <w:tc>
          <w:tcPr>
            <w:tcW w:type="dxa" w:w="482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PostgreSQL route guidance is retrieved only after Java selects a route.</w:t>
            </w:r>
          </w:p>
        </w:tc>
        <w:tc>
          <w:tcPr>
            <w:tcW w:type="dxa" w:w="259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Retrieved content cannot re-evaluate urgency.</w:t>
            </w:r>
          </w:p>
        </w:tc>
      </w:tr>
      <w:tr>
        <w:tc>
          <w:tcPr>
            <w:tcW w:type="dxa" w:w="1728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Model guardrail</w:t>
            </w:r>
          </w:p>
        </w:tc>
        <w:tc>
          <w:tcPr>
            <w:tcW w:type="dxa" w:w="482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CaregiverSummaryPolicy validates Ollama output.</w:t>
            </w:r>
          </w:p>
        </w:tc>
        <w:tc>
          <w:tcPr>
            <w:tcW w:type="dxa" w:w="259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Unsafe, unavailable, disabled, or rejected output becomes fixed Java Bengali fallback guidance.</w:t>
            </w:r>
          </w:p>
        </w:tc>
      </w:tr>
      <w:tr>
        <w:tc>
          <w:tcPr>
            <w:tcW w:type="dxa" w:w="1728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User optional data</w:t>
            </w:r>
          </w:p>
        </w:tc>
        <w:tc>
          <w:tcPr>
            <w:tcW w:type="dxa" w:w="482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Voice, free text, location, photos, and records are not routing inputs and are not sent to Ollama.</w:t>
            </w:r>
          </w:p>
        </w:tc>
        <w:tc>
          <w:tcPr>
            <w:tcW w:type="dxa" w:w="259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Optional browser features cannot block safety guidance.</w:t>
            </w:r>
          </w:p>
        </w:tc>
      </w:tr>
      <w:tr>
        <w:tc>
          <w:tcPr>
            <w:tcW w:type="dxa" w:w="1728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Presentation</w:t>
            </w:r>
          </w:p>
        </w:tc>
        <w:tc>
          <w:tcPr>
            <w:tcW w:type="dxa" w:w="482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UI shows validated Ollama/RAG guidance or Java fallback, one source at a time.</w:t>
            </w:r>
          </w:p>
        </w:tc>
        <w:tc>
          <w:tcPr>
            <w:tcW w:type="dxa" w:w="259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The safe route remains visible and stable.</w:t>
            </w:r>
          </w:p>
        </w:tc>
      </w:tr>
    </w:tbl>
    <w:p>
      <w:pPr>
        <w:spacing w:after="2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0ED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21"/>
              </w:rPr>
              <w:t>Demo-data boundary</w:t>
            </w:r>
          </w:p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9"/>
              </w:rPr>
              <w:t>Seeded pathways, criteria, Bengali guidance, and sources are labelled DEMO_SIMULATED_NOT_FOR_CLINICAL_USE and require DEMO_RAG_ENABLED=true. They demonstrate the flow but are not approved clinical content.</w:t>
            </w:r>
          </w:p>
        </w:tc>
      </w:tr>
    </w:tbl>
    <w:p>
      <w:pPr>
        <w:spacing w:after="20"/>
      </w:pPr>
    </w:p>
    <w:p>
      <w:pPr>
        <w:spacing w:before="260" w:after="100"/>
      </w:pPr>
      <w:r>
        <w:rPr>
          <w:rFonts w:ascii="Aptos" w:hAnsi="Aptos"/>
          <w:b/>
          <w:color w:val="2F6FAF"/>
          <w:sz w:val="34"/>
        </w:rPr>
        <w:t>4. PostgreSQL RAG and local Ollama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584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Stage</w:t>
            </w:r>
          </w:p>
        </w:tc>
        <w:tc>
          <w:tcPr>
            <w:tcW w:type="dxa" w:w="4320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Current behaviour</w:t>
            </w:r>
          </w:p>
        </w:tc>
        <w:tc>
          <w:tcPr>
            <w:tcW w:type="dxa" w:w="3240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Safety boundary</w:t>
            </w:r>
          </w:p>
        </w:tc>
      </w:tr>
      <w:tr>
        <w:tc>
          <w:tcPr>
            <w:tcW w:type="dxa" w:w="158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Feature flags</w:t>
            </w:r>
          </w:p>
        </w:tc>
        <w:tc>
          <w:tcPr>
            <w:tcW w:type="dxa" w:w="432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AI_SUMMARY_ENABLED enables local Ollama; DEMO_RAG_ENABLED enables simulated demo records.</w:t>
            </w:r>
          </w:p>
        </w:tc>
        <w:tc>
          <w:tcPr>
            <w:tcW w:type="dxa" w:w="324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Backend-only configuration.</w:t>
            </w:r>
          </w:p>
        </w:tc>
      </w:tr>
      <w:tr>
        <w:tc>
          <w:tcPr>
            <w:tcW w:type="dxa" w:w="158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RAG retrieval</w:t>
            </w:r>
          </w:p>
        </w:tc>
        <w:tc>
          <w:tcPr>
            <w:tcW w:type="dxa" w:w="432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PostgreSQL returns Bengali guidance and reference data for the fixed route.</w:t>
            </w:r>
          </w:p>
        </w:tc>
        <w:tc>
          <w:tcPr>
            <w:tcW w:type="dxa" w:w="324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No RAG record can alter the Java route.</w:t>
            </w:r>
          </w:p>
        </w:tc>
      </w:tr>
      <w:tr>
        <w:tc>
          <w:tcPr>
            <w:tcW w:type="dxa" w:w="158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Generation</w:t>
            </w:r>
          </w:p>
        </w:tc>
        <w:tc>
          <w:tcPr>
            <w:tcW w:type="dxa" w:w="432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Local Ollama (default llama3.2:3b) produces short Bengali communication.</w:t>
            </w:r>
          </w:p>
        </w:tc>
        <w:tc>
          <w:tcPr>
            <w:tcW w:type="dxa" w:w="324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No raw voice, free text, patient details, precise location, photos, or records are sent.</w:t>
            </w:r>
          </w:p>
        </w:tc>
      </w:tr>
      <w:tr>
        <w:tc>
          <w:tcPr>
            <w:tcW w:type="dxa" w:w="158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Validation</w:t>
            </w:r>
          </w:p>
        </w:tc>
        <w:tc>
          <w:tcPr>
            <w:tcW w:type="dxa" w:w="432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CaregiverSummaryPolicy accepts safe text or rejects it.</w:t>
            </w:r>
          </w:p>
        </w:tc>
        <w:tc>
          <w:tcPr>
            <w:tcW w:type="dxa" w:w="324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API returns fixed fallback guidance on rejection or failure.</w:t>
            </w:r>
          </w:p>
        </w:tc>
      </w:tr>
      <w:tr>
        <w:tc>
          <w:tcPr>
            <w:tcW w:type="dxa" w:w="1584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Presentation</w:t>
            </w:r>
          </w:p>
        </w:tc>
        <w:tc>
          <w:tcPr>
            <w:tcW w:type="dxa" w:w="432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Result UI shows validated generated guidance or Java fallback.</w:t>
            </w:r>
          </w:p>
        </w:tc>
        <w:tc>
          <w:tcPr>
            <w:tcW w:type="dxa" w:w="324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Ollama cannot diagnose, prescribe, invent facilities, or take autonomous action.</w:t>
            </w:r>
          </w:p>
        </w:tc>
      </w:tr>
    </w:tbl>
    <w:p>
      <w:pPr>
        <w:spacing w:after="20"/>
      </w:pPr>
    </w:p>
    <w:p>
      <w:pPr>
        <w:spacing w:before="260" w:after="100"/>
      </w:pPr>
      <w:r>
        <w:rPr>
          <w:rFonts w:ascii="Aptos" w:hAnsi="Aptos"/>
          <w:b/>
          <w:color w:val="2F6FAF"/>
          <w:sz w:val="34"/>
        </w:rPr>
        <w:t>5. Security, privacy, and governance controls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800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Control area</w:t>
            </w:r>
          </w:p>
        </w:tc>
        <w:tc>
          <w:tcPr>
            <w:tcW w:type="dxa" w:w="3672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Implemented now</w:t>
            </w:r>
          </w:p>
        </w:tc>
        <w:tc>
          <w:tcPr>
            <w:tcW w:type="dxa" w:w="3672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Current boundary / production strengthening</w:t>
            </w:r>
          </w:p>
        </w:tc>
      </w:tr>
      <w:tr>
        <w:tc>
          <w:tcPr>
            <w:tcW w:type="dxa" w:w="180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API exposure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Stateless Spring Security; configured-origin CORS. Routing, AI-summary, and health endpoints are public for demo.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Production needs auth roles, HTTPS, rate limiting, abuse protection, and endpoint review.</w:t>
            </w:r>
          </w:p>
        </w:tc>
      </w:tr>
      <w:tr>
        <w:tc>
          <w:tcPr>
            <w:tcW w:type="dxa" w:w="180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Secrets/configuration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Database, CORS, Ollama, model, and flags use environment variables.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Managed secret store, rotation, least-privilege credentials, and change controls.</w:t>
            </w:r>
          </w:p>
        </w:tc>
      </w:tr>
      <w:tr>
        <w:tc>
          <w:tcPr>
            <w:tcW w:type="dxa" w:w="180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Data minimisation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Structured codes and boolean support request; optional free text/browser features do not drive routing or go to Ollama.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Data inventory, notice/consent, retention/deletion, access review, and incident response.</w:t>
            </w:r>
          </w:p>
        </w:tc>
      </w:tr>
      <w:tr>
        <w:tc>
          <w:tcPr>
            <w:tcW w:type="dxa" w:w="180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Content governance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Record status and explicit demo switch label simulated data.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Reviewer workflow, approval evidence, versioning, publish controls, and rollback.</w:t>
            </w:r>
          </w:p>
        </w:tc>
      </w:tr>
      <w:tr>
        <w:tc>
          <w:tcPr>
            <w:tcW w:type="dxa" w:w="180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AI governance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Java route authority, post-route RAG, output policy, and fallback limit model impact.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Bengali evaluation, prompt/version tracking, red-team tests, monitoring, and clinical review.</w:t>
            </w:r>
          </w:p>
        </w:tc>
      </w:tr>
      <w:tr>
        <w:tc>
          <w:tcPr>
            <w:tcW w:type="dxa" w:w="180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Audit/operations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Backend logs route, criteria, model generation, validation, and fallback reason.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Persistent non-identifying audit events, dashboards, alerts, retention policy, and incident handling.</w:t>
            </w:r>
          </w:p>
        </w:tc>
      </w:tr>
    </w:tbl>
    <w:p>
      <w:pPr>
        <w:spacing w:after="20"/>
      </w:pPr>
    </w:p>
    <w:p>
      <w:pPr>
        <w:spacing w:before="260" w:after="100"/>
      </w:pPr>
      <w:r>
        <w:rPr>
          <w:rFonts w:ascii="Aptos" w:hAnsi="Aptos"/>
          <w:b/>
          <w:color w:val="2F6FAF"/>
          <w:sz w:val="34"/>
        </w:rPr>
        <w:t>6. Current capstone gaps and roadmap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800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Gap</w:t>
            </w:r>
          </w:p>
        </w:tc>
        <w:tc>
          <w:tcPr>
            <w:tcW w:type="dxa" w:w="3672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Why it matters</w:t>
            </w:r>
          </w:p>
        </w:tc>
        <w:tc>
          <w:tcPr>
            <w:tcW w:type="dxa" w:w="3672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Recommended next control</w:t>
            </w:r>
          </w:p>
        </w:tc>
      </w:tr>
      <w:tr>
        <w:tc>
          <w:tcPr>
            <w:tcW w:type="dxa" w:w="180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No authenticated roles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Reviewer, content, operations, and facility roles are not separated.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Identity, RBAC, approval queues, and activity history.</w:t>
            </w:r>
          </w:p>
        </w:tc>
      </w:tr>
      <w:tr>
        <w:tc>
          <w:tcPr>
            <w:tcW w:type="dxa" w:w="180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Demo clinical content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Seeded data is simulated and not for clinical use.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Clinical review, evidence, approved versions, release sign-off, and rollback.</w:t>
            </w:r>
          </w:p>
        </w:tc>
      </w:tr>
      <w:tr>
        <w:tc>
          <w:tcPr>
            <w:tcW w:type="dxa" w:w="180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Demo service directory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Facility/support options have no freshness verification.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Partner directory, verified source, expiry metadata, and manual override.</w:t>
            </w:r>
          </w:p>
        </w:tc>
      </w:tr>
      <w:tr>
        <w:tc>
          <w:tcPr>
            <w:tcW w:type="dxa" w:w="180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No durable audit store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Logs alone are insufficient for governance or operational review.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Non-identifying event store: correlation, versions, latency, validation, fallback.</w:t>
            </w:r>
          </w:p>
        </w:tc>
      </w:tr>
      <w:tr>
        <w:tc>
          <w:tcPr>
            <w:tcW w:type="dxa" w:w="180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Local development deployment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Backend is local; Docker Compose covers PostgreSQL and Ollama only.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TLS, secure hosting, secret manager, network isolation, backup/restore, health checks, monitoring.</w:t>
            </w:r>
          </w:p>
        </w:tc>
      </w:tr>
      <w:tr>
        <w:tc>
          <w:tcPr>
            <w:tcW w:type="dxa" w:w="180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Evaluation coverage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Full clinical/user evaluation is limited.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Route matrix, Bengali comprehension, accessibility, adverse-case review, pilot governance.</w:t>
            </w:r>
          </w:p>
        </w:tc>
      </w:tr>
    </w:tbl>
    <w:p>
      <w:pPr>
        <w:spacing w:after="20"/>
      </w:pPr>
    </w:p>
    <w:p>
      <w:pPr>
        <w:spacing w:before="260" w:after="100"/>
      </w:pPr>
      <w:r>
        <w:rPr>
          <w:rFonts w:ascii="Aptos" w:hAnsi="Aptos"/>
          <w:b/>
          <w:color w:val="2F6FAF"/>
          <w:sz w:val="34"/>
        </w:rPr>
        <w:t>7. Deployment and future controlled scope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656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Zone</w:t>
            </w:r>
          </w:p>
        </w:tc>
        <w:tc>
          <w:tcPr>
            <w:tcW w:type="dxa" w:w="3816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Current capstone</w:t>
            </w:r>
          </w:p>
        </w:tc>
        <w:tc>
          <w:tcPr>
            <w:tcW w:type="dxa" w:w="3672"/>
            <w:shd w:fill="DDE8F0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/>
                <w:color w:val="17384B"/>
                <w:sz w:val="18"/>
              </w:rPr>
              <w:t>Future controlled-pilot requirement</w:t>
            </w:r>
          </w:p>
        </w:tc>
      </w:tr>
      <w:tr>
        <w:tc>
          <w:tcPr>
            <w:tcW w:type="dxa" w:w="1656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Frontend</w:t>
            </w:r>
          </w:p>
        </w:tc>
        <w:tc>
          <w:tcPr>
            <w:tcW w:type="dxa" w:w="3816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React PWA runs locally; GitHub Pages hosts wireframe documentation only.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Production HTTPS hosting, accessibility monitoring, release controls.</w:t>
            </w:r>
          </w:p>
        </w:tc>
      </w:tr>
      <w:tr>
        <w:tc>
          <w:tcPr>
            <w:tcW w:type="dxa" w:w="1656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Backend</w:t>
            </w:r>
          </w:p>
        </w:tc>
        <w:tc>
          <w:tcPr>
            <w:tcW w:type="dxa" w:w="3816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Spring Boot runs locally outside Docker for demo.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Managed deployment, secret manager, auth, monitoring, scale planning.</w:t>
            </w:r>
          </w:p>
        </w:tc>
      </w:tr>
      <w:tr>
        <w:tc>
          <w:tcPr>
            <w:tcW w:type="dxa" w:w="1656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Data and AI</w:t>
            </w:r>
          </w:p>
        </w:tc>
        <w:tc>
          <w:tcPr>
            <w:tcW w:type="dxa" w:w="3816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Docker Compose runs PostgreSQL and local Ollama; Ollama is not browser-exposed.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Managed PostgreSQL, lifecycle, network controls, backups, model evaluation, audit.</w:t>
            </w:r>
          </w:p>
        </w:tc>
      </w:tr>
      <w:tr>
        <w:tc>
          <w:tcPr>
            <w:tcW w:type="dxa" w:w="1656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Extended automation</w:t>
            </w:r>
          </w:p>
        </w:tc>
        <w:tc>
          <w:tcPr>
            <w:tcW w:type="dxa" w:w="3816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Agent, Skills, MCP gateway, service admin workflow, persistent audit store not implemented.</w:t>
            </w:r>
          </w:p>
        </w:tc>
        <w:tc>
          <w:tcPr>
            <w:tcW w:type="dxa" w:w="3672"/>
            <w:tcBorders>
              <w:top w:val="single" w:sz="6" w:color="C7DFDB"/>
              <w:left w:val="single" w:sz="6" w:color="C7DFDB"/>
              <w:bottom w:val="single" w:sz="6" w:color="C7DFDB"/>
              <w:right w:val="single" w:sz="6" w:color="C7DFDB"/>
            </w:tcBorders>
            <w:tcMar>
              <w:top w:w="90" w:type="dxa"/>
              <w:start w:w="120" w:type="dxa"/>
              <w:bottom w:w="9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rFonts w:ascii="Aptos" w:hAnsi="Aptos"/>
                <w:b w:val="0"/>
                <w:color w:val="17384B"/>
                <w:sz w:val="17"/>
              </w:rPr>
              <w:t>Allowlisted tools, least privilege, human approval, testing, no autonomous clinical/user action.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58737D"/>
        <w:sz w:val="16"/>
      </w:rPr>
      <w:t>NetraJyoti AI MVP | Safe information, not a diagnosis | Demo data is not for clinical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008B7E"/>
        <w:sz w:val="16"/>
      </w:rPr>
      <w:t>NETRAJYOTI AI | HIGH-LEVEL DESIGN | CURRENT CAPSTONE MVP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