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</w:pPr>
      <w:r>
        <w:rPr>
          <w:rFonts w:ascii="Aptos Display" w:hAnsi="Aptos Display"/>
          <w:b/>
          <w:color w:val="123C4A"/>
          <w:sz w:val="60"/>
        </w:rPr>
        <w:t>NetraJyoti AI</w:t>
      </w:r>
    </w:p>
    <w:p>
      <w:pPr>
        <w:spacing w:after="500"/>
      </w:pPr>
      <w:r>
        <w:rPr>
          <w:rFonts w:ascii="Aptos" w:hAnsi="Aptos"/>
          <w:color w:val="008C82"/>
          <w:sz w:val="28"/>
        </w:rPr>
        <w:t>High-Level Design (HLD) | MVP architecture and operational blueprint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NetraJyoti AI is a Bengali-first, mobile-friendly eye-care guidance and service-navigation application for rural West Bengal. It helps users understand safe next steps, find relevant care routes, and share an approved summary with family. It does not diagnose disease.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b/>
                <w:color w:val="123C4A"/>
              </w:rPr>
              <w:t xml:space="preserve">Architecture principle. </w:t>
            </w:r>
            <w:r>
              <w:rPr>
                <w:sz w:val="19"/>
              </w:rPr>
              <w:t>Deterministic reviewed safety rules decide urgency. Optional AI is limited to a validated routine caregiver summary and can never change the route, urgency, or clinical boundary.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NetraJyoti AI MVP</w:t>
            </w:r>
          </w:p>
        </w:tc>
      </w:tr>
      <w:tr>
        <w:tc>
          <w:tcPr>
            <w:tcW w:type="dxa" w:w="288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Design level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High-level design; implementation details remain in the Technical PRD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Primary experience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Bengali-first responsive web/PWA with English support text</w:t>
            </w:r>
          </w:p>
        </w:tc>
      </w:tr>
      <w:tr>
        <w:tc>
          <w:tcPr>
            <w:tcW w:type="dxa" w:w="288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Core stack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React + TypeScript + Vite; Java 21 + Spring Boot 3; PostgreSQL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External integration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 API through the backend only; browser location/share/speech APIs where available</w:t>
            </w:r>
          </w:p>
        </w:tc>
      </w:tr>
      <w:tr>
        <w:tc>
          <w:tcPr>
            <w:tcW w:type="dxa" w:w="288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Primary safety outcome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Urgent care, routine eye-check guidance, or human-support route</w:t>
            </w:r>
          </w:p>
        </w:tc>
      </w:tr>
    </w:tbl>
    <w:p>
      <w:pPr>
        <w:spacing w:after="40"/>
      </w:pP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1. Purpose, scope, and design drivers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This HLD provides a shared architecture view for product, engineering, QA, outreach operations, and capstone review. It shows major components, responsibility boundaries, key integrations, deployment topology, and safety/privacy controls.</w:t>
      </w: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1.1 Design drivers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Safety before convenience: warning-sign routing is explicit, explainable, deterministic, and versioned.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Bengali-first access: large controls, short statements, bilingual hierarchy, optional voice, and no text-heavy dependency.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Resilient operation: routing and approved Bengali guidance continue when AI, speech, location, sharing, or a service lookup is unavailable.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Practical navigation: district/town or block selection, PHC/ASHA/family options, and verified demo service cards complement the guidance.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Privacy by design: patient details stay in the browser and are added to a shared message only with explicit consent.</w:t>
      </w: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1.2 In scope / excluded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Explicitly excluded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Fixed symptom selection; reviewed urgent-sign questions; three safe outcome routes.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Disease identification, clinical diagnosis, medication advice, or autonomous medical triage.</w:t>
            </w:r>
          </w:p>
        </w:tc>
      </w:tr>
      <w:tr>
        <w:tc>
          <w:tcPr>
            <w:tcW w:type="dxa" w:w="48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Service-direction demo directory; district/town/block or permissioned device location.</w:t>
            </w:r>
          </w:p>
        </w:tc>
        <w:tc>
          <w:tcPr>
            <w:tcW w:type="dxa" w:w="496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Guaranteeing live facility hours/availability until a governed, live service directory is integrated.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Family/caregiver message creation, preview, share, copy, and optional patient fields.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Persistent storage of patient PII, raw voice audio, or free-text health notes in the MVP.</w:t>
            </w:r>
          </w:p>
        </w:tc>
      </w:tr>
      <w:tr>
        <w:tc>
          <w:tcPr>
            <w:tcW w:type="dxa" w:w="48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Controlled OpenAI summary for routine route with server flag, validation, and fallback.</w:t>
            </w:r>
          </w:p>
        </w:tc>
        <w:tc>
          <w:tcPr>
            <w:tcW w:type="dxa" w:w="496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Client-side API keys, AI-selected urgency, AI-generated diagnosis/treatment, or unreviewed AI output.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2. System context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The user accesses a progressive web application over HTTPS. The frontend calls the NetraJyoti API for deterministic routing, location/service direction, content/feature capability, and optional caregiver summaries. Administrators and outreach coordinators maintain approved service and content data through a protected operational interface or controlled data process.</w:t>
      </w: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2.1 Context diagram (logical)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Actor / system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Interaction with NetraJyoti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Trust boundary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End user / family member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Uses Bengali-first web screens; selects symptoms; reviews next step; optionally enters local patient details and shares a message.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Public browser; no OpenAI key or admin capability.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React PWA client</w:t>
            </w:r>
          </w:p>
        </w:tc>
        <w:tc>
          <w:tcPr>
            <w:tcW w:type="dxa" w:w="56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Renders workflow and transient state; invokes APIs; optionally uses browser speech, location, Web Share, and Clipboard APIs.</w:t>
            </w:r>
          </w:p>
        </w:tc>
        <w:tc>
          <w:tcPr>
            <w:tcW w:type="dxa" w:w="19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Untrusted client; all safety decisions revalidated server-side.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NetraJyoti Spring Boot API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Owns safety routing, content selection, input validation, feature flags, AI request safety checks, and audit metadata.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Trusted application service boundary.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56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Stores reviewed rules, content, locations, flags, and de-identified technical audit events.</w:t>
            </w:r>
          </w:p>
        </w:tc>
        <w:tc>
          <w:tcPr>
            <w:tcW w:type="dxa" w:w="19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Private data tier; least-privilege application account.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 API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Generates optional short routine caregiver summary after routing; response undergoes validation.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External processor; no direct client access.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Outreach coordinator / administrator</w:t>
            </w:r>
          </w:p>
        </w:tc>
        <w:tc>
          <w:tcPr>
            <w:tcW w:type="dxa" w:w="56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Updates verified service information and approved operational content through role-restricted process.</w:t>
            </w:r>
          </w:p>
        </w:tc>
        <w:tc>
          <w:tcPr>
            <w:tcW w:type="dxa" w:w="19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Authenticated administrative boundary.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2.2 Architecture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responsibility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Experience layer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React screens, workflow reducer/state machine, bilingual content rendering, PWA shell.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Make the safe journey clear and usable on low-end mobile browsers.</w:t>
            </w:r>
          </w:p>
        </w:tc>
      </w:tr>
      <w:tr>
        <w:tc>
          <w:tcPr>
            <w:tcW w:type="dxa" w:w="180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Integration layer</w:t>
            </w:r>
          </w:p>
        </w:tc>
        <w:tc>
          <w:tcPr>
            <w:tcW w:type="dxa" w:w="324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 client, browser location/share/clipboard/speech adapters.</w:t>
            </w:r>
          </w:p>
        </w:tc>
        <w:tc>
          <w:tcPr>
            <w:tcW w:type="dxa" w:w="475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Progressive enhancement; graceful fallback when browser capability is unavailable.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Application layer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Spring MVC controllers, Bean Validation, Spring Security, exception handler, feature flag service.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Expose controlled APIs and enforce request/security contracts.</w:t>
            </w:r>
          </w:p>
        </w:tc>
      </w:tr>
      <w:tr>
        <w:tc>
          <w:tcPr>
            <w:tcW w:type="dxa" w:w="180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Safety domain</w:t>
            </w:r>
          </w:p>
        </w:tc>
        <w:tc>
          <w:tcPr>
            <w:tcW w:type="dxa" w:w="324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Versioned Java rules module, approved-content resolver, route audit service.</w:t>
            </w:r>
          </w:p>
        </w:tc>
        <w:tc>
          <w:tcPr>
            <w:tcW w:type="dxa" w:w="475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Determine URGENT, ROUTINE, or HUMAN_SUPPORT from fixed reviewed identifiers.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Care navigation domain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Location catalogue, facility/service query service, verified-at metadata.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Return suitable demo care/support options; surface data limitations.</w:t>
            </w:r>
          </w:p>
        </w:tc>
      </w:tr>
      <w:tr>
        <w:tc>
          <w:tcPr>
            <w:tcW w:type="dxa" w:w="180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AI boundary</w:t>
            </w:r>
          </w:p>
        </w:tc>
        <w:tc>
          <w:tcPr>
            <w:tcW w:type="dxa" w:w="324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Summary eligibility check, prompt builder, OpenAI client, schema/policy validator, fallback resolver.</w:t>
            </w:r>
          </w:p>
        </w:tc>
        <w:tc>
          <w:tcPr>
            <w:tcW w:type="dxa" w:w="475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Add value without affecting safety route or exposing a secret.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Data and operations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PostgreSQL, migrations, structured logging, health/metrics, backups.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Govern configuration, service data, reliability, and change traceability.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3. Core workflow architecture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The frontend displays a single user journey but the application treats it as a controlled state model. Each state has a documented entry condition, visible purpose, allowed actions, and safe exit path. This prevents a user being stranded after sharing, denying location access, or switching branches.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Stages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decision / transition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Core intake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 Consent → 2 Symptoms → 3 Urgent-sign check → 4 Safe guidance check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Consent enables progression. Fixed symptom and urgent-sign identifiers are submitted to the server-side reviewed rules module.</w:t>
            </w:r>
          </w:p>
        </w:tc>
      </w:tr>
      <w:tr>
        <w:tc>
          <w:tcPr>
            <w:tcW w:type="dxa" w:w="180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Urgent route</w:t>
            </w:r>
          </w:p>
        </w:tc>
        <w:tc>
          <w:tcPr>
            <w:tcW w:type="dxa" w:w="316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 → 5A.1–5A.6</w:t>
            </w:r>
          </w:p>
        </w:tc>
        <w:tc>
          <w:tcPr>
            <w:tcW w:type="dxa" w:w="48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Urgent sign selected routes to immediate-care content. Location, district/block, PHC support, facilities, share, and care-confirmation sub-paths all preserve a return to urgent result.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Routine route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5B → 6 → 7 → 8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 urgent sign routes to district/town selection, approved visit recommendation, service direction, and family-summary workflow.</w:t>
            </w:r>
          </w:p>
        </w:tc>
      </w:tr>
      <w:tr>
        <w:tc>
          <w:tcPr>
            <w:tcW w:type="dxa" w:w="180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Human-support route</w:t>
            </w:r>
          </w:p>
        </w:tc>
        <w:tc>
          <w:tcPr>
            <w:tcW w:type="dxa" w:w="316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5C → 5C.1 → 5C.2</w:t>
            </w:r>
          </w:p>
        </w:tc>
        <w:tc>
          <w:tcPr>
            <w:tcW w:type="dxa" w:w="48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Unclear/other or requested support routes to ASHA, PHC, trusted-family, and location-based help options.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3.1 Deterministic safety-route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ED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b/>
                <w:color w:val="123C4A"/>
              </w:rPr>
              <w:t xml:space="preserve">Non-negotiable rule. </w:t>
            </w:r>
            <w:r>
              <w:rPr>
                <w:sz w:val="19"/>
              </w:rPr>
              <w:t>Optional free text, speech capture, patient profile details, selected facility, AI output, and the UI itself are never inputs to urgency. Only approved fixed IDs participate in safety-route evaluation.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Processing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symptomIds[]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Validate against active symptom catalogue; retain for display and approved summary context.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Selected-concern labels; never a diagnosis.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urgentSignIds[]</w:t>
            </w:r>
          </w:p>
        </w:tc>
        <w:tc>
          <w:tcPr>
            <w:tcW w:type="dxa" w:w="439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Evaluate using active reviewed SafetyRuleSet with deterministic precedence.</w:t>
            </w:r>
          </w:p>
        </w:tc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route = URGENT, ROUTINE, or HUMAN_SUPPORT; ruleVersion; approved content key.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district / town or block / optional location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Validate against location catalogue or obtain after permission; query service direction.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 demo facility/support cards, verified timestamp, and clear data disclaimer.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optional share fields + consent</w:t>
            </w:r>
          </w:p>
        </w:tc>
        <w:tc>
          <w:tcPr>
            <w:tcW w:type="dxa" w:w="439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Keep client-side until summary/share preview action; include only when consented.</w:t>
            </w:r>
          </w:p>
        </w:tc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Final message preview; no persistent PII by default.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3.2 Urgent branch transition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Destination / outcome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 Immediate action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Find verified care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5A.1 care discovery choice.</w:t>
            </w:r>
          </w:p>
        </w:tc>
      </w:tr>
      <w:tr>
        <w:tc>
          <w:tcPr>
            <w:tcW w:type="dxa" w:w="23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5A.1 Care discovery</w:t>
            </w:r>
          </w:p>
        </w:tc>
        <w:tc>
          <w:tcPr>
            <w:tcW w:type="dxa" w:w="367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Use current location</w:t>
            </w:r>
          </w:p>
        </w:tc>
        <w:tc>
          <w:tcPr>
            <w:tcW w:type="dxa" w:w="38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5A.2 permission request; then 5A.4 services if granted.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5A.1 Care discovery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District/block or PHC support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5A.3 area selection; then 5A.4 verified services.</w:t>
            </w:r>
          </w:p>
        </w:tc>
      </w:tr>
      <w:tr>
        <w:tc>
          <w:tcPr>
            <w:tcW w:type="dxa" w:w="23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 Immediate action</w:t>
            </w:r>
          </w:p>
        </w:tc>
        <w:tc>
          <w:tcPr>
            <w:tcW w:type="dxa" w:w="367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Share urgent message</w:t>
            </w:r>
          </w:p>
        </w:tc>
        <w:tc>
          <w:tcPr>
            <w:tcW w:type="dxa" w:w="38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5A.5 selected symptoms + approved family message.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 Immediate action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Continue to care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5A.6 care commitment; still offers nearby care, share, and restart.</w:t>
            </w:r>
          </w:p>
        </w:tc>
      </w:tr>
      <w:tr>
        <w:tc>
          <w:tcPr>
            <w:tcW w:type="dxa" w:w="23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Any 5A substate</w:t>
            </w:r>
          </w:p>
        </w:tc>
        <w:tc>
          <w:tcPr>
            <w:tcW w:type="dxa" w:w="367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Return urgent result</w:t>
            </w:r>
          </w:p>
        </w:tc>
        <w:tc>
          <w:tcPr>
            <w:tcW w:type="dxa" w:w="381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5A; preserves safety action context.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4. Component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Workflow UI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Renders each numbered screen; enforces visible primary/secondary actions; supports back/return/restart; maintains transient selected symptoms and route state.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Calls routing, service, feature, and summary APIs. Uses typed screen/state model.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Content UI primitives</w:t>
            </w:r>
          </w:p>
        </w:tc>
        <w:tc>
          <w:tcPr>
            <w:tcW w:type="dxa" w:w="46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Bilingual title, notice, action button, symptom choice, service card, consent and share-preview components.</w:t>
            </w:r>
          </w:p>
        </w:tc>
        <w:tc>
          <w:tcPr>
            <w:tcW w:type="dxa" w:w="28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Consumes approved content keys and catalogue labels; no hard-coded medical decision.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RoutingController + RoutingService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Validates request; calls SafetyRulesEngine; resolves approved result content; emits route audit metadata.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/api/v1/routing/evaluate.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SafetyRulesEngine</w:t>
            </w:r>
          </w:p>
        </w:tc>
        <w:tc>
          <w:tcPr>
            <w:tcW w:type="dxa" w:w="46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Applies reviewed active rule version and returns a route/result code.</w:t>
            </w:r>
          </w:p>
        </w:tc>
        <w:tc>
          <w:tcPr>
            <w:tcW w:type="dxa" w:w="28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Pure Java domain API; independently unit-testable; no HTTP/DB dependency during evaluation.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ServiceDirectoryService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Filters location/service records by route, district, town/block, and optional permitted location.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location/service endpoints; returns demo/verified metadata.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CaregiverSummaryService</w:t>
            </w:r>
          </w:p>
        </w:tc>
        <w:tc>
          <w:tcPr>
            <w:tcW w:type="dxa" w:w="46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Checks routine eligibility and ENABLE_AI_SUMMARY; uses OpenAI client only if allowed; validates response; otherwise resolves fallback.</w:t>
            </w:r>
          </w:p>
        </w:tc>
        <w:tc>
          <w:tcPr>
            <w:tcW w:type="dxa" w:w="28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/api/v1/summaries/caregiver.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FeatureFlagService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Reads server configuration or database flag with environment override and audit owner.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client-safe features; internal server evaluation.</w:t>
            </w:r>
          </w:p>
        </w:tc>
      </w:tr>
      <w:tr>
        <w:tc>
          <w:tcPr>
            <w:tcW w:type="dxa" w:w="23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Audit/observability components</w:t>
            </w:r>
          </w:p>
        </w:tc>
        <w:tc>
          <w:tcPr>
            <w:tcW w:type="dxa" w:w="46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Records non-identifying event metadata, correlation ID, latency, rule/content version, AI/fallback result.</w:t>
            </w:r>
          </w:p>
        </w:tc>
        <w:tc>
          <w:tcPr>
            <w:tcW w:type="dxa" w:w="280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Structured logs, metrics, health endpoint.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4.1 Key API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controls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/api/v1/routing/evaluate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Return deterministic safe route and content key.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Bean Validation; allowlisted IDs only; error codes; rate limits; route/rule-version audit.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/api/v1/locations/districts and /{id}/areas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Supply bilingual area selections.</w:t>
            </w:r>
          </w:p>
        </w:tc>
        <w:tc>
          <w:tcPr>
            <w:tcW w:type="dxa" w:w="33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Active catalogue IDs only; cacheable non-sensitive data.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/api/v1/services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Return relevant facilities / PHC / support options.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Route/location filter; demo and verified-at indicators; no guarantee of live availability.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/api/v1/summaries/caregiver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Return approved or validated AI family summary.</w:t>
            </w:r>
          </w:p>
        </w:tc>
        <w:tc>
          <w:tcPr>
            <w:tcW w:type="dxa" w:w="33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Routine-only; server flag; schema/policy validation; timeout and fallback.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/api/v1/features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Expose client-safe feature capability.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 secrets; true/false enablement only.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GET /actuator/health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Deployment liveness/readiness.</w:t>
            </w:r>
          </w:p>
        </w:tc>
        <w:tc>
          <w:tcPr>
            <w:tcW w:type="dxa" w:w="33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Restrict detailed management endpoints outside trusted operations network.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5. Data architecture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The database supports governed configuration and care-navigation data. It does not become a patient record system in the MVP. Administrative updates must be traceable and subject to validation/review.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 domain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entities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notes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Reviewed safety configuration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SafetyRuleSet, SymptomCatalog, UrgentSignCatalog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Rule sets are versioned with active period, approver, and status. Exactly one approved active set per environment.</w:t>
            </w:r>
          </w:p>
        </w:tc>
      </w:tr>
      <w:tr>
        <w:tc>
          <w:tcPr>
            <w:tcW w:type="dxa" w:w="208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 content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ApprovedContent, ContentVersion</w:t>
            </w:r>
          </w:p>
        </w:tc>
        <w:tc>
          <w:tcPr>
            <w:tcW w:type="dxa" w:w="439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Stores Bengali primary and English secondary copy by route/content key. Urgent copy is governed content, not generative output.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Service navigation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District, Area, ServiceLocation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Includes service type, contact, address, active state, verified-at, and demo flag. Outreach update process owns freshness.</w:t>
            </w:r>
          </w:p>
        </w:tc>
      </w:tr>
      <w:tr>
        <w:tc>
          <w:tcPr>
            <w:tcW w:type="dxa" w:w="208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Feature configuration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FeatureFlag</w:t>
            </w:r>
          </w:p>
        </w:tc>
        <w:tc>
          <w:tcPr>
            <w:tcW w:type="dxa" w:w="439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ENABLE_AI_SUMMARY defaults off until approved; record who/when changed it.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Technical audit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AuditEvent, SummaryRequestAudit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Stores correlation ID, event/route, versions, latency, fallback outcome. Excludes patient PII and raw prompt/response by default.</w:t>
            </w:r>
          </w:p>
        </w:tc>
      </w:tr>
      <w:tr>
        <w:tc>
          <w:tcPr>
            <w:tcW w:type="dxa" w:w="208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Transient user data</w:t>
            </w:r>
          </w:p>
        </w:tc>
        <w:tc>
          <w:tcPr>
            <w:tcW w:type="dxa" w:w="345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Browser workflow state</w:t>
            </w:r>
          </w:p>
        </w:tc>
        <w:tc>
          <w:tcPr>
            <w:tcW w:type="dxa" w:w="439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Selected symptoms, local profile fields, and message preview live in client memory/session; clear on restart/end.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5.1 Privacy boundary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Name, age, address, and phone are optional message-composition fields, not routing inputs.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They are included only after an explicit share-consent action and are not persisted in the database in the MVP.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Raw browser speech audio is not sent to the backend. If speech recognition produces text, it is treated as optional user-visible convenience input only.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Coordinates are requested only after a user action and should not be stored. District/town/block selection remains a no-permission alternative.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Logs must redact/omit PII, API secrets, raw message content, OpenAI prompt content, and model output by default.</w:t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6. Controlled AI architecture</w:t>
      </w:r>
    </w:p>
    <w:p>
      <w:pPr>
        <w:spacing w:after="120" w:line="269" w:lineRule="auto"/>
      </w:pPr>
      <w:r>
        <w:rPr>
          <w:rFonts w:ascii="Aptos" w:hAnsi="Aptos"/>
          <w:color w:val="263D48"/>
          <w:sz w:val="20"/>
        </w:rPr>
        <w:t>AI is a constrained capability behind the Java backend. The system does not rely on it for the core user journey. The client receives either a validated short caregiver summary or the approved Bengali fallback, with the same safety message and route.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Eligibility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Only ROUTINE route can ask for AI. URGENT and HUMAN_SUPPORT always use approved fixed content.</w:t>
            </w:r>
          </w:p>
        </w:tc>
      </w:tr>
      <w:tr>
        <w:tc>
          <w:tcPr>
            <w:tcW w:type="dxa" w:w="216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Feature flag</w:t>
            </w:r>
          </w:p>
        </w:tc>
        <w:tc>
          <w:tcPr>
            <w:tcW w:type="dxa" w:w="77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Server checks ENABLE_AI_SUMMARY. When off, unavailable, or failing, return fallback without an external call.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Input minimisation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Send allowlisted route and symptom labels plus approved next-step copy. No raw audio; optional personal details only when policy/consent permits.</w:t>
            </w:r>
          </w:p>
        </w:tc>
      </w:tr>
      <w:tr>
        <w:tc>
          <w:tcPr>
            <w:tcW w:type="dxa" w:w="216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Generation</w:t>
            </w:r>
          </w:p>
        </w:tc>
        <w:tc>
          <w:tcPr>
            <w:tcW w:type="dxa" w:w="77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Spring Boot OpenAI client executes from server with OPENAI_API_KEY stored only in secret configuration.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Enforce JSON schema, Bengali/length expectation, approved action retained, no diagnostic/medication/urgency override, and no invented facility claims.</w:t>
            </w:r>
          </w:p>
        </w:tc>
      </w:tr>
      <w:tr>
        <w:tc>
          <w:tcPr>
            <w:tcW w:type="dxa" w:w="216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Failure mode</w:t>
            </w:r>
          </w:p>
        </w:tc>
        <w:tc>
          <w:tcPr>
            <w:tcW w:type="dxa" w:w="7776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Timeout, malformed output, policy violation, provider error, or rate-limit returns approved fallback and technical metadata only.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Presentation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UI provides review/share/copy actions, but never presents an AI summary as diagnosis or clinical review.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7. Security and trust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HLD control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Transport and origin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HTTPS-only production deployment; strict CORS allowlist for frontend hosts; HTTP security headers.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Secrets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OPENAI_API_KEY, database credentials, and admin secrets injected through environment/secret manager. .env files excluded from Git and no secret returned by API.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Access control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Public anonymous user APIs use validation and rate limits. Service/rule/content/flag administration requires authentication and least-privilege role control.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Input protection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Bean Validation, identifier allowlists, output encoding, request size limits, centralized exception handling, and secure error messages.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Safety rules, urgent copy, facility records, and fallback content have change owner, version, approval state, and reviewed timestamp.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Operational audit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Non-identifying audit event captures route, rule version, content version, feature-flag state, fallback use, and correlation ID.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Third party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 is accessed only from API backend. Timeouts, circuit breaker/rate limit, validation, and approved fallback constrain provider dependency.</w:t>
            </w:r>
          </w:p>
        </w:tc>
      </w:tr>
    </w:tbl>
    <w:p>
      <w:pPr>
        <w:spacing w:after="40"/>
      </w:pP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8. Deployment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Deployed component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Operational controls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Public edge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Vercel/Netlify static React PWA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HTTPS, immutable assets, CDN caching for static files only, environment-specific API base URL.</w:t>
            </w:r>
          </w:p>
        </w:tc>
      </w:tr>
      <w:tr>
        <w:tc>
          <w:tcPr>
            <w:tcW w:type="dxa" w:w="172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Application</w:t>
            </w:r>
          </w:p>
        </w:tc>
        <w:tc>
          <w:tcPr>
            <w:tcW w:type="dxa" w:w="37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Managed Spring Boot service on Render/Railway/AWS/Azure</w:t>
            </w:r>
          </w:p>
        </w:tc>
        <w:tc>
          <w:tcPr>
            <w:tcW w:type="dxa" w:w="446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Health checks, autoscaling/instance policy, environment variables, structured logs, rolling release/rollback.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Managed PostgreSQL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Private connection, encrypted backups, migration tool (Flyway/Liquibase), least-privilege user, restore testing.</w:t>
            </w:r>
          </w:p>
        </w:tc>
      </w:tr>
      <w:tr>
        <w:tc>
          <w:tcPr>
            <w:tcW w:type="dxa" w:w="1728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External</w:t>
            </w:r>
          </w:p>
        </w:tc>
        <w:tc>
          <w:tcPr>
            <w:tcW w:type="dxa" w:w="37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 API</w:t>
            </w:r>
          </w:p>
        </w:tc>
        <w:tc>
          <w:tcPr>
            <w:tcW w:type="dxa" w:w="446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Server egress only, key in secret manager, explicit timeouts, usage budget/alerts, fallback-safe behaviour.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Operations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Monitoring/logging platform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API latency/error, route counts, AI fallback rate, service lookup failure, deploy health, and alert thresholds.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8.1 Environment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CORS_ORIGIN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Allowed frontend origin(s) per environment.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SPRING_DATASOURCE_*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PostgreSQL connection configuration.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OPENAI_API_KEY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Server-only OpenAI key; absent when AI is disabled.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ENABLE_AI_SUMMARY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Controlled AI summary flag; default false for production approval gate.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SERVICE_DIRECTORY_MODE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Demo versus future governed live-directory mode.</w:t>
            </w:r>
          </w:p>
        </w:tc>
      </w:tr>
      <w:tr>
        <w:tc>
          <w:tcPr>
            <w:tcW w:type="dxa" w:w="302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RATE_LIMIT_* and AI_TIMEOUT_MS</w:t>
            </w:r>
          </w:p>
        </w:tc>
        <w:tc>
          <w:tcPr>
            <w:tcW w:type="dxa" w:w="691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Protect public routes and bound external dependency latency.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LOG_LEVEL / observability endpoint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Environment-specific diagnostics with PII-safe logging.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9. Resilience, observability, and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4997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response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AI unavailable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Immediate approved Bengali fallback; no interruption to route, service direction, or sharing.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Location denied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District/town/block and PHC options remain available; user can return to urgent result.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Network error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Show simple retry; preserve non-sensitive workflow selections in memory; give restart/back path rather than blank screen.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Stale service data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Display demo/verified-at indicator; outreach operational process updates content; no live availability assertion.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Unexpected server error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Consistent error envelope and correlation ID; UI uses safe generic guidance and does not fabricate a route.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Metrics</w:t>
            </w:r>
          </w:p>
        </w:tc>
        <w:tc>
          <w:tcPr>
            <w:tcW w:type="dxa" w:w="770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p95 API latency, 4xx/5xx, route distribution, safety-rule version use, service query failures, AI attempts/fallbacks, and share/copy interaction counts without PII.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Quality gates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JUnit/Mockito unit rules tests; Spring integration tests; React Testing Library; Playwright full-journey tests; manual Bengali and mobile UX review.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 Display" w:hAnsi="Aptos Display"/>
          <w:color w:val="008C82"/>
        </w:rPr>
        <w:t>9.1 Acceptance architecture checks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All possible warning-sign combinations have an expected deterministic route and automated test coverage.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urgent 5A → 5A.1–5A.6 journey and routine 5B → 6 → 7 → 8 journey have no dead end; human-support 5C → 5C.2 provides a practical next action.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Turning AI off or simulating an AI error leaves a complete and safe routine caregiver-summary experience.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route is selected by free text, voice, user profile, AI, or client-only logic.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Browser bundle contains no API key, secrets, database credentials, or protected administrative data.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All user-facing screens preserve Bengali-primary / English-secondary visual hierarchy and responsive mobile readability.</w:t>
      </w:r>
    </w:p>
    <w:p>
      <w:pPr>
        <w:pStyle w:val="Heading1"/>
        <w:spacing w:before="320" w:after="100"/>
      </w:pPr>
      <w:r>
        <w:rPr>
          <w:rFonts w:ascii="Aptos Display" w:hAnsi="Aptos Display"/>
          <w:color w:val="123C4A"/>
        </w:rPr>
        <w:t>10. Key decisions and future extensions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  <w:tc>
          <w:tcPr>
            <w:tcW w:type="dxa" w:w="3331"/>
            <w:shd w:fill="123C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Future extension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React PWA instead of native app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Fast, low-friction Android-friendly access and easy updates for capstone MVP.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Native wrapper/mobile app only after usage and distribution evidence.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Deterministic Java safety module</w:t>
            </w:r>
          </w:p>
        </w:tc>
        <w:tc>
          <w:tcPr>
            <w:tcW w:type="dxa" w:w="396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Explainable and testable clinical boundary; safe operation without AI.</w:t>
            </w:r>
          </w:p>
        </w:tc>
        <w:tc>
          <w:tcPr>
            <w:tcW w:type="dxa" w:w="37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Formal clinician rule-review workflow and richer catalogue versions.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Server-side OpenAI capability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Protects key, controls prompt/input, supports validation and fallback.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Evaluate approved local language models or further support functions only after governance.</w:t>
            </w:r>
          </w:p>
        </w:tc>
      </w:tr>
      <w:tr>
        <w:tc>
          <w:tcPr>
            <w:tcW w:type="dxa" w:w="2232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Demo service directory</w:t>
            </w:r>
          </w:p>
        </w:tc>
        <w:tc>
          <w:tcPr>
            <w:tcW w:type="dxa" w:w="3960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Avoids unsupported real-time claims while proving navigation workflow.</w:t>
            </w:r>
          </w:p>
        </w:tc>
        <w:tc>
          <w:tcPr>
            <w:tcW w:type="dxa" w:w="3744"/>
            <w:shd w:fill="F4F9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Verified operational directory, outreach update console, availability feeds, and SLA.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 patient data persistence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Reduces MVP privacy risk and maintains focus on navigation.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Consent-led case management only after legal, security, retention, and referral operating model approval.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b/>
                <w:color w:val="123C4A"/>
              </w:rPr>
              <w:t xml:space="preserve">HLD completion criterion. </w:t>
            </w:r>
            <w:r>
              <w:rPr>
                <w:sz w:val="19"/>
              </w:rPr>
              <w:t>This architecture is ready for detailed API schemas, database migrations, rule-set specification, UI component contracts, test cases, and deployment runbooks. Any change that lets AI influence urgency or introduces patient-data storage requires a new safety and privacy review.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16772"/>
        <w:sz w:val="16"/>
      </w:rPr>
      <w:t>Confidential capstone product documentation  |  Version 1.0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8C82"/>
        <w:sz w:val="16"/>
      </w:rPr>
      <w:t>NETRAJYOTI AI  | 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NetraJyoti AI High-Level Design</dc:title>
  <dc:subject>High-level solution architecture for the NetraJyoti AI MVP</dc:subject>
  <dc:creator>NetraJyoti AI Capstone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