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23C4A"/>
          <w:sz w:val="42"/>
          <w:szCs w:val="42"/>
        </w:rPr>
        <w:t xml:space="preserve">NetraJyoti AI</w:t>
      </w:r>
    </w:p>
    <w:p>
      <w:pPr>
        <w:spacing w:after="220" w:before="0" w:line="250"/>
        <w:jc w:val="left"/>
      </w:pPr>
      <w:r>
        <w:rPr>
          <w:rFonts w:ascii="Calibri" w:cs="Calibri" w:eastAsia="Calibri" w:hAnsi="Calibri"/>
          <w:b w:val="false"/>
          <w:bCs w:val="false"/>
          <w:i w:val="false"/>
          <w:iCs w:val="false"/>
          <w:color w:val="008C82"/>
          <w:sz w:val="24"/>
          <w:szCs w:val="24"/>
        </w:rPr>
        <w:t xml:space="preserve">High-Level Design (HLD) | MVP architecture and future controlled AI option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D9E1E8" w:sz="4"/>
              <w:left w:val="single" w:color="D9E1E8" w:sz="4"/>
              <w:bottom w:val="single" w:color="D9E1E8" w:sz="4"/>
              <w:right w:val="single" w:color="D9E1E8" w:sz="4"/>
            </w:tcBorders>
            <w:shd w:fill="EDF6FB" w:val="clear"/>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Scope note: the core MVP is a deterministic, Bengali-first guidance and navigation system. Agent, MCP, Skills and Model capabilities below are post-MVP controlled-pilot options; they are not enabled in core safety routing.</w:t>
            </w:r>
          </w:p>
        </w:tc>
      </w:tr>
    </w:tbl>
    <w:p>
      <w:pPr>
        <w:pStyle w:val="Heading1"/>
        <w:spacing w:after="100" w:before="260"/>
        <w:rPr>
          <w:rFonts w:ascii="Calibri" w:cs="Calibri" w:eastAsia="Calibri" w:hAnsi="Calibri"/>
          <w:b/>
          <w:bCs/>
          <w:color w:val="123C4A"/>
          <w:sz w:val="30"/>
          <w:szCs w:val="30"/>
        </w:rPr>
      </w:pPr>
      <w:r>
        <w:t xml:space="preserve">1. Architecture principles</w:t>
      </w:r>
    </w:p>
    <w:tbl>
      <w:tblPr>
        <w:tblW w:type="dxa" w:w="9360"/>
        <w:tblBorders>
          <w:top w:val="single" w:color="D9E1E8" w:sz="4"/>
          <w:left w:val="single" w:color="D9E1E8" w:sz="4"/>
          <w:bottom w:val="single" w:color="D9E1E8" w:sz="4"/>
          <w:right w:val="single" w:color="D9E1E8" w:sz="4"/>
          <w:insideH w:val="single" w:color="D9E1E8" w:sz="4"/>
          <w:insideV w:val="single" w:color="D9E1E8" w:sz="4"/>
        </w:tblBorders>
      </w:tblPr>
      <w:tblGrid>
        <w:gridCol w:w="100"/>
        <w:gridCol w:w="100"/>
      </w:tblGrid>
      <w:tr>
        <w:trPr>
          <w:tblHeader/>
        </w:trPr>
        <w:tc>
          <w:tcPr>
            <w:tcW w:type="dxa" w:w="2600"/>
            <w:tcBorders>
              <w:top w:val="single" w:color="D9E1E8" w:sz="4"/>
              <w:left w:val="single" w:color="D9E1E8" w:sz="4"/>
              <w:bottom w:val="single" w:color="D9E1E8" w:sz="4"/>
              <w:right w:val="single" w:color="D9E1E8" w:sz="4"/>
            </w:tcBorders>
            <w:shd w:fill="E8EEF5" w:val="clear"/>
            <w:tcMar>
              <w:top w:type="dxa" w:w="80"/>
              <w:left w:type="dxa" w:w="120"/>
              <w:bottom w:type="dxa" w:w="80"/>
              <w:right w:type="dxa" w:w="120"/>
            </w:tcMar>
            <w:vAlign w:val="center"/>
          </w:tcPr>
          <w:p>
            <w:pPr>
              <w:spacing w:after="0" w:line="220"/>
            </w:pPr>
            <w:r>
              <w:rPr>
                <w:rFonts w:ascii="Calibri" w:cs="Calibri" w:eastAsia="Calibri" w:hAnsi="Calibri"/>
                <w:b/>
                <w:bCs/>
                <w:color w:val="123C4A"/>
                <w:sz w:val="18"/>
                <w:szCs w:val="18"/>
              </w:rPr>
              <w:t xml:space="preserve">Principle</w:t>
            </w:r>
          </w:p>
        </w:tc>
        <w:tc>
          <w:tcPr>
            <w:tcW w:type="dxa" w:w="6760"/>
            <w:tcBorders>
              <w:top w:val="single" w:color="D9E1E8" w:sz="4"/>
              <w:left w:val="single" w:color="D9E1E8" w:sz="4"/>
              <w:bottom w:val="single" w:color="D9E1E8" w:sz="4"/>
              <w:right w:val="single" w:color="D9E1E8" w:sz="4"/>
            </w:tcBorders>
            <w:shd w:fill="E8EEF5" w:val="clear"/>
            <w:tcMar>
              <w:top w:type="dxa" w:w="80"/>
              <w:left w:type="dxa" w:w="120"/>
              <w:bottom w:type="dxa" w:w="80"/>
              <w:right w:type="dxa" w:w="120"/>
            </w:tcMar>
            <w:vAlign w:val="center"/>
          </w:tcPr>
          <w:p>
            <w:pPr>
              <w:spacing w:after="0" w:line="220"/>
            </w:pPr>
            <w:r>
              <w:rPr>
                <w:rFonts w:ascii="Calibri" w:cs="Calibri" w:eastAsia="Calibri" w:hAnsi="Calibri"/>
                <w:b/>
                <w:bCs/>
                <w:color w:val="123C4A"/>
                <w:sz w:val="18"/>
                <w:szCs w:val="18"/>
              </w:rPr>
              <w:t xml:space="preserve">Design implication</w:t>
            </w:r>
          </w:p>
        </w:tc>
      </w:tr>
      <w:tr>
        <w:tc>
          <w:tcPr>
            <w:tcW w:type="dxa" w:w="260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Safety before automation</w:t>
            </w:r>
          </w:p>
        </w:tc>
        <w:tc>
          <w:tcPr>
            <w:tcW w:type="dxa" w:w="676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Reviewed Java rules alone select URGENT, ROUTINE or HUMAN_SUPPORT.</w:t>
            </w:r>
          </w:p>
        </w:tc>
      </w:tr>
      <w:tr>
        <w:tc>
          <w:tcPr>
            <w:tcW w:type="dxa" w:w="260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Bengali-first access</w:t>
            </w:r>
          </w:p>
        </w:tc>
        <w:tc>
          <w:tcPr>
            <w:tcW w:type="dxa" w:w="676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React PWA supports large bilingual controls, Bengali voice/text options and graceful browser fallbacks.</w:t>
            </w:r>
          </w:p>
        </w:tc>
      </w:tr>
      <w:tr>
        <w:tc>
          <w:tcPr>
            <w:tcW w:type="dxa" w:w="260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Privacy by design</w:t>
            </w:r>
          </w:p>
        </w:tc>
        <w:tc>
          <w:tcPr>
            <w:tcW w:type="dxa" w:w="676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Patient details are optional, local to the message composition flow and not routing inputs.</w:t>
            </w:r>
          </w:p>
        </w:tc>
      </w:tr>
      <w:tr>
        <w:tc>
          <w:tcPr>
            <w:tcW w:type="dxa" w:w="260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Resilience</w:t>
            </w:r>
          </w:p>
        </w:tc>
        <w:tc>
          <w:tcPr>
            <w:tcW w:type="dxa" w:w="676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Loss of AI, service lookup, location, speech or sharing must never block approved guidance.</w:t>
            </w:r>
          </w:p>
        </w:tc>
      </w:tr>
    </w:tbl>
    <w:p>
      <w:pPr>
        <w:pStyle w:val="Heading1"/>
        <w:spacing w:after="100" w:before="260"/>
        <w:rPr>
          <w:rFonts w:ascii="Calibri" w:cs="Calibri" w:eastAsia="Calibri" w:hAnsi="Calibri"/>
          <w:b/>
          <w:bCs/>
          <w:color w:val="123C4A"/>
          <w:sz w:val="30"/>
          <w:szCs w:val="30"/>
        </w:rPr>
      </w:pPr>
      <w:r>
        <w:t xml:space="preserve">2. Core MVP logical architecture</w:t>
      </w:r>
    </w:p>
    <w:tbl>
      <w:tblPr>
        <w:tblW w:type="dxa" w:w="9360"/>
        <w:tblBorders>
          <w:top w:val="single" w:color="D9E1E8" w:sz="4"/>
          <w:left w:val="single" w:color="D9E1E8" w:sz="4"/>
          <w:bottom w:val="single" w:color="D9E1E8" w:sz="4"/>
          <w:right w:val="single" w:color="D9E1E8" w:sz="4"/>
          <w:insideH w:val="single" w:color="D9E1E8" w:sz="4"/>
          <w:insideV w:val="single" w:color="D9E1E8" w:sz="4"/>
        </w:tblBorders>
      </w:tblPr>
      <w:tblGrid>
        <w:gridCol w:w="100"/>
        <w:gridCol w:w="100"/>
        <w:gridCol w:w="100"/>
      </w:tblGrid>
      <w:tr>
        <w:trPr>
          <w:tblHeader/>
        </w:trPr>
        <w:tc>
          <w:tcPr>
            <w:tcW w:type="dxa" w:w="1500"/>
            <w:tcBorders>
              <w:top w:val="single" w:color="D9E1E8" w:sz="4"/>
              <w:left w:val="single" w:color="D9E1E8" w:sz="4"/>
              <w:bottom w:val="single" w:color="D9E1E8" w:sz="4"/>
              <w:right w:val="single" w:color="D9E1E8" w:sz="4"/>
            </w:tcBorders>
            <w:shd w:fill="E8EEF5" w:val="clear"/>
            <w:tcMar>
              <w:top w:type="dxa" w:w="80"/>
              <w:left w:type="dxa" w:w="120"/>
              <w:bottom w:type="dxa" w:w="80"/>
              <w:right w:type="dxa" w:w="120"/>
            </w:tcMar>
            <w:vAlign w:val="center"/>
          </w:tcPr>
          <w:p>
            <w:pPr>
              <w:spacing w:after="0" w:line="220"/>
            </w:pPr>
            <w:r>
              <w:rPr>
                <w:rFonts w:ascii="Calibri" w:cs="Calibri" w:eastAsia="Calibri" w:hAnsi="Calibri"/>
                <w:b/>
                <w:bCs/>
                <w:color w:val="123C4A"/>
                <w:sz w:val="18"/>
                <w:szCs w:val="18"/>
              </w:rPr>
              <w:t xml:space="preserve">Layer</w:t>
            </w:r>
          </w:p>
        </w:tc>
        <w:tc>
          <w:tcPr>
            <w:tcW w:type="dxa" w:w="2900"/>
            <w:tcBorders>
              <w:top w:val="single" w:color="D9E1E8" w:sz="4"/>
              <w:left w:val="single" w:color="D9E1E8" w:sz="4"/>
              <w:bottom w:val="single" w:color="D9E1E8" w:sz="4"/>
              <w:right w:val="single" w:color="D9E1E8" w:sz="4"/>
            </w:tcBorders>
            <w:shd w:fill="E8EEF5" w:val="clear"/>
            <w:tcMar>
              <w:top w:type="dxa" w:w="80"/>
              <w:left w:type="dxa" w:w="120"/>
              <w:bottom w:type="dxa" w:w="80"/>
              <w:right w:type="dxa" w:w="120"/>
            </w:tcMar>
            <w:vAlign w:val="center"/>
          </w:tcPr>
          <w:p>
            <w:pPr>
              <w:spacing w:after="0" w:line="220"/>
            </w:pPr>
            <w:r>
              <w:rPr>
                <w:rFonts w:ascii="Calibri" w:cs="Calibri" w:eastAsia="Calibri" w:hAnsi="Calibri"/>
                <w:b/>
                <w:bCs/>
                <w:color w:val="123C4A"/>
                <w:sz w:val="18"/>
                <w:szCs w:val="18"/>
              </w:rPr>
              <w:t xml:space="preserve">Component</w:t>
            </w:r>
          </w:p>
        </w:tc>
        <w:tc>
          <w:tcPr>
            <w:tcW w:type="dxa" w:w="4960"/>
            <w:tcBorders>
              <w:top w:val="single" w:color="D9E1E8" w:sz="4"/>
              <w:left w:val="single" w:color="D9E1E8" w:sz="4"/>
              <w:bottom w:val="single" w:color="D9E1E8" w:sz="4"/>
              <w:right w:val="single" w:color="D9E1E8" w:sz="4"/>
            </w:tcBorders>
            <w:shd w:fill="E8EEF5" w:val="clear"/>
            <w:tcMar>
              <w:top w:type="dxa" w:w="80"/>
              <w:left w:type="dxa" w:w="120"/>
              <w:bottom w:type="dxa" w:w="80"/>
              <w:right w:type="dxa" w:w="120"/>
            </w:tcMar>
            <w:vAlign w:val="center"/>
          </w:tcPr>
          <w:p>
            <w:pPr>
              <w:spacing w:after="0" w:line="220"/>
            </w:pPr>
            <w:r>
              <w:rPr>
                <w:rFonts w:ascii="Calibri" w:cs="Calibri" w:eastAsia="Calibri" w:hAnsi="Calibri"/>
                <w:b/>
                <w:bCs/>
                <w:color w:val="123C4A"/>
                <w:sz w:val="18"/>
                <w:szCs w:val="18"/>
              </w:rPr>
              <w:t xml:space="preserve">Responsibility</w:t>
            </w:r>
          </w:p>
        </w:tc>
      </w:tr>
      <w:tr>
        <w:tc>
          <w:tcPr>
            <w:tcW w:type="dxa" w:w="150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Experience</w:t>
            </w:r>
          </w:p>
        </w:tc>
        <w:tc>
          <w:tcPr>
            <w:tcW w:type="dxa" w:w="290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React + TypeScript PWA</w:t>
            </w:r>
          </w:p>
        </w:tc>
        <w:tc>
          <w:tcPr>
            <w:tcW w:type="dxa" w:w="496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Bengali-first user journey, local workflow state, share/copy and progressive browser capabilities.</w:t>
            </w:r>
          </w:p>
        </w:tc>
      </w:tr>
      <w:tr>
        <w:tc>
          <w:tcPr>
            <w:tcW w:type="dxa" w:w="150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Application</w:t>
            </w:r>
          </w:p>
        </w:tc>
        <w:tc>
          <w:tcPr>
            <w:tcW w:type="dxa" w:w="290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Java 21 + Spring Boot REST API</w:t>
            </w:r>
          </w:p>
        </w:tc>
        <w:tc>
          <w:tcPr>
            <w:tcW w:type="dxa" w:w="496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Input validation, feature flags, content resolution, API security and safe error handling.</w:t>
            </w:r>
          </w:p>
        </w:tc>
      </w:tr>
      <w:tr>
        <w:tc>
          <w:tcPr>
            <w:tcW w:type="dxa" w:w="150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Safety domain</w:t>
            </w:r>
          </w:p>
        </w:tc>
        <w:tc>
          <w:tcPr>
            <w:tcW w:type="dxa" w:w="290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Deterministic Java safety-rules module</w:t>
            </w:r>
          </w:p>
        </w:tc>
        <w:tc>
          <w:tcPr>
            <w:tcW w:type="dxa" w:w="496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Classifies fixed reviewed inputs into urgent, routine or human-support outcomes.</w:t>
            </w:r>
          </w:p>
        </w:tc>
      </w:tr>
      <w:tr>
        <w:tc>
          <w:tcPr>
            <w:tcW w:type="dxa" w:w="150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Data</w:t>
            </w:r>
          </w:p>
        </w:tc>
        <w:tc>
          <w:tcPr>
            <w:tcW w:type="dxa" w:w="290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PostgreSQL + Spring Data JPA</w:t>
            </w:r>
          </w:p>
        </w:tc>
        <w:tc>
          <w:tcPr>
            <w:tcW w:type="dxa" w:w="496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Stores reviewed rule versions, approved content, service-directory data, flags and non-identifying audit events.</w:t>
            </w:r>
          </w:p>
        </w:tc>
      </w:tr>
      <w:tr>
        <w:tc>
          <w:tcPr>
            <w:tcW w:type="dxa" w:w="150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Operations</w:t>
            </w:r>
          </w:p>
        </w:tc>
        <w:tc>
          <w:tcPr>
            <w:tcW w:type="dxa" w:w="290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Coordinator workflow</w:t>
            </w:r>
          </w:p>
        </w:tc>
        <w:tc>
          <w:tcPr>
            <w:tcW w:type="dxa" w:w="496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Maintains reviewed care-service and eye-camp information with ownership and verification metadata.</w:t>
            </w:r>
          </w:p>
        </w:tc>
      </w:tr>
    </w:tbl>
    <w:p>
      <w:pPr>
        <w:spacing w:after="120" w:before="120" w:line="250"/>
        <w:jc w:val="left"/>
      </w:pPr>
      <w:r>
        <w:rPr>
          <w:rFonts w:ascii="Calibri" w:cs="Calibri" w:eastAsia="Calibri" w:hAnsi="Calibri"/>
          <w:b/>
          <w:bCs/>
          <w:i w:val="false"/>
          <w:iCs w:val="false"/>
          <w:color w:val="123C4A"/>
          <w:sz w:val="20"/>
          <w:szCs w:val="20"/>
        </w:rPr>
        <w:t xml:space="preserve">Core flow: User PWA -&gt; REST API -&gt; reviewed safety rules -&gt; approved result content -&gt; care-navigation and share actions.</w:t>
      </w:r>
    </w:p>
    <w:p>
      <w:pPr>
        <w:spacing w:after="100" w:before="80"/>
        <w:jc w:val="center"/>
      </w:pPr>
      <w:r>
        <w:drawing>
          <wp:inline distT="0" distB="0" distL="0" distR="0">
            <wp:extent cx="619125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91250" cy="2876550"/>
                    </a:xfrm>
                    <a:prstGeom prst="rect">
                      <a:avLst/>
                    </a:prstGeom>
                  </pic:spPr>
                </pic:pic>
              </a:graphicData>
            </a:graphic>
          </wp:inline>
        </w:drawing>
      </w:r>
    </w:p>
    <w:p>
      <w:pPr>
        <w:pStyle w:val="Heading1"/>
        <w:spacing w:after="100" w:before="260"/>
        <w:rPr>
          <w:rFonts w:ascii="Calibri" w:cs="Calibri" w:eastAsia="Calibri" w:hAnsi="Calibri"/>
          <w:b/>
          <w:bCs/>
          <w:color w:val="123C4A"/>
          <w:sz w:val="30"/>
          <w:szCs w:val="30"/>
        </w:rPr>
      </w:pPr>
      <w:r>
        <w:t xml:space="preserve">3. Current safety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D9E1E8" w:sz="4"/>
              <w:left w:val="single" w:color="D9E1E8" w:sz="4"/>
              <w:bottom w:val="single" w:color="D9E1E8" w:sz="4"/>
              <w:right w:val="single" w:color="D9E1E8" w:sz="4"/>
            </w:tcBorders>
            <w:shd w:fill="FFF4D6" w:val="clear"/>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Only fixed, reviewed warning-sign identifiers determine the route. Free text, speech recognition, selected location, patient details, service-directory results, AI output and client-side UI logic cannot change urgency.</w:t>
            </w:r>
          </w:p>
        </w:tc>
      </w:tr>
    </w:tbl>
    <w:p>
      <w:pPr>
        <w:pStyle w:val="Heading1"/>
        <w:spacing w:after="100" w:before="260"/>
        <w:rPr>
          <w:rFonts w:ascii="Calibri" w:cs="Calibri" w:eastAsia="Calibri" w:hAnsi="Calibri"/>
          <w:b/>
          <w:bCs/>
          <w:color w:val="123C4A"/>
          <w:sz w:val="30"/>
          <w:szCs w:val="30"/>
        </w:rPr>
      </w:pPr>
      <w:r>
        <w:t xml:space="preserve">4. Future-state AI architecture (Post-MVP / controlled pilot)</w:t>
      </w:r>
    </w:p>
    <w:p>
      <w:pPr>
        <w:spacing w:after="120" w:before="0" w:line="250"/>
        <w:jc w:val="left"/>
      </w:pPr>
      <w:r>
        <w:rPr>
          <w:rFonts w:ascii="Calibri" w:cs="Calibri" w:eastAsia="Calibri" w:hAnsi="Calibri"/>
          <w:b w:val="false"/>
          <w:bCs w:val="false"/>
          <w:i w:val="false"/>
          <w:iCs w:val="false"/>
          <w:color w:val="263D48"/>
          <w:sz w:val="20"/>
          <w:szCs w:val="20"/>
        </w:rPr>
        <w:t xml:space="preserve">The future option is downstream of completed deterministic routing. It may be introduced only through a feature flag and only after clinical/content review, privacy approval, usability testing and output evaluation.</w:t>
      </w:r>
    </w:p>
    <w:p>
      <w:pPr>
        <w:spacing w:after="100" w:before="80"/>
        <w:jc w:val="center"/>
      </w:pPr>
      <w:r>
        <w:drawing>
          <wp:inline distT="0" distB="0" distL="0" distR="0">
            <wp:extent cx="619125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91250" cy="2876550"/>
                    </a:xfrm>
                    <a:prstGeom prst="rect">
                      <a:avLst/>
                    </a:prstGeom>
                  </pic:spPr>
                </pic:pic>
              </a:graphicData>
            </a:graphic>
          </wp:inline>
        </w:drawing>
      </w:r>
    </w:p>
    <w:tbl>
      <w:tblPr>
        <w:tblW w:type="dxa" w:w="9360"/>
        <w:tblBorders>
          <w:top w:val="single" w:color="D9E1E8" w:sz="4"/>
          <w:left w:val="single" w:color="D9E1E8" w:sz="4"/>
          <w:bottom w:val="single" w:color="D9E1E8" w:sz="4"/>
          <w:right w:val="single" w:color="D9E1E8" w:sz="4"/>
          <w:insideH w:val="single" w:color="D9E1E8" w:sz="4"/>
          <w:insideV w:val="single" w:color="D9E1E8" w:sz="4"/>
        </w:tblBorders>
      </w:tblPr>
      <w:tblGrid>
        <w:gridCol w:w="100"/>
        <w:gridCol w:w="100"/>
        <w:gridCol w:w="100"/>
        <w:gridCol w:w="100"/>
      </w:tblGrid>
      <w:tr>
        <w:trPr>
          <w:tblHeader/>
        </w:trPr>
        <w:tc>
          <w:tcPr>
            <w:tcW w:type="dxa" w:w="600"/>
            <w:tcBorders>
              <w:top w:val="single" w:color="D9E1E8" w:sz="4"/>
              <w:left w:val="single" w:color="D9E1E8" w:sz="4"/>
              <w:bottom w:val="single" w:color="D9E1E8" w:sz="4"/>
              <w:right w:val="single" w:color="D9E1E8" w:sz="4"/>
            </w:tcBorders>
            <w:shd w:fill="E8EEF5" w:val="clear"/>
            <w:tcMar>
              <w:top w:type="dxa" w:w="80"/>
              <w:left w:type="dxa" w:w="120"/>
              <w:bottom w:type="dxa" w:w="80"/>
              <w:right w:type="dxa" w:w="120"/>
            </w:tcMar>
            <w:vAlign w:val="center"/>
          </w:tcPr>
          <w:p>
            <w:pPr>
              <w:spacing w:after="0" w:line="220"/>
            </w:pPr>
            <w:r>
              <w:rPr>
                <w:rFonts w:ascii="Calibri" w:cs="Calibri" w:eastAsia="Calibri" w:hAnsi="Calibri"/>
                <w:b/>
                <w:bCs/>
                <w:color w:val="123C4A"/>
                <w:sz w:val="18"/>
                <w:szCs w:val="18"/>
              </w:rPr>
              <w:t xml:space="preserve">Sequence</w:t>
            </w:r>
          </w:p>
        </w:tc>
        <w:tc>
          <w:tcPr>
            <w:tcW w:type="dxa" w:w="1700"/>
            <w:tcBorders>
              <w:top w:val="single" w:color="D9E1E8" w:sz="4"/>
              <w:left w:val="single" w:color="D9E1E8" w:sz="4"/>
              <w:bottom w:val="single" w:color="D9E1E8" w:sz="4"/>
              <w:right w:val="single" w:color="D9E1E8" w:sz="4"/>
            </w:tcBorders>
            <w:shd w:fill="E8EEF5" w:val="clear"/>
            <w:tcMar>
              <w:top w:type="dxa" w:w="80"/>
              <w:left w:type="dxa" w:w="120"/>
              <w:bottom w:type="dxa" w:w="80"/>
              <w:right w:type="dxa" w:w="120"/>
            </w:tcMar>
            <w:vAlign w:val="center"/>
          </w:tcPr>
          <w:p>
            <w:pPr>
              <w:spacing w:after="0" w:line="220"/>
            </w:pPr>
            <w:r>
              <w:rPr>
                <w:rFonts w:ascii="Calibri" w:cs="Calibri" w:eastAsia="Calibri" w:hAnsi="Calibri"/>
                <w:b/>
                <w:bCs/>
                <w:color w:val="123C4A"/>
                <w:sz w:val="18"/>
                <w:szCs w:val="18"/>
              </w:rPr>
              <w:t xml:space="preserve">Component</w:t>
            </w:r>
          </w:p>
        </w:tc>
        <w:tc>
          <w:tcPr>
            <w:tcW w:type="dxa" w:w="3900"/>
            <w:tcBorders>
              <w:top w:val="single" w:color="D9E1E8" w:sz="4"/>
              <w:left w:val="single" w:color="D9E1E8" w:sz="4"/>
              <w:bottom w:val="single" w:color="D9E1E8" w:sz="4"/>
              <w:right w:val="single" w:color="D9E1E8" w:sz="4"/>
            </w:tcBorders>
            <w:shd w:fill="E8EEF5" w:val="clear"/>
            <w:tcMar>
              <w:top w:type="dxa" w:w="80"/>
              <w:left w:type="dxa" w:w="120"/>
              <w:bottom w:type="dxa" w:w="80"/>
              <w:right w:type="dxa" w:w="120"/>
            </w:tcMar>
            <w:vAlign w:val="center"/>
          </w:tcPr>
          <w:p>
            <w:pPr>
              <w:spacing w:after="0" w:line="220"/>
            </w:pPr>
            <w:r>
              <w:rPr>
                <w:rFonts w:ascii="Calibri" w:cs="Calibri" w:eastAsia="Calibri" w:hAnsi="Calibri"/>
                <w:b/>
                <w:bCs/>
                <w:color w:val="123C4A"/>
                <w:sz w:val="18"/>
                <w:szCs w:val="18"/>
              </w:rPr>
              <w:t xml:space="preserve">Role</w:t>
            </w:r>
          </w:p>
        </w:tc>
        <w:tc>
          <w:tcPr>
            <w:tcW w:type="dxa" w:w="3160"/>
            <w:tcBorders>
              <w:top w:val="single" w:color="D9E1E8" w:sz="4"/>
              <w:left w:val="single" w:color="D9E1E8" w:sz="4"/>
              <w:bottom w:val="single" w:color="D9E1E8" w:sz="4"/>
              <w:right w:val="single" w:color="D9E1E8" w:sz="4"/>
            </w:tcBorders>
            <w:shd w:fill="E8EEF5" w:val="clear"/>
            <w:tcMar>
              <w:top w:type="dxa" w:w="80"/>
              <w:left w:type="dxa" w:w="120"/>
              <w:bottom w:type="dxa" w:w="80"/>
              <w:right w:type="dxa" w:w="120"/>
            </w:tcMar>
            <w:vAlign w:val="center"/>
          </w:tcPr>
          <w:p>
            <w:pPr>
              <w:spacing w:after="0" w:line="220"/>
            </w:pPr>
            <w:r>
              <w:rPr>
                <w:rFonts w:ascii="Calibri" w:cs="Calibri" w:eastAsia="Calibri" w:hAnsi="Calibri"/>
                <w:b/>
                <w:bCs/>
                <w:color w:val="123C4A"/>
                <w:sz w:val="18"/>
                <w:szCs w:val="18"/>
              </w:rPr>
              <w:t xml:space="preserve">Boundary</w:t>
            </w:r>
          </w:p>
        </w:tc>
      </w:tr>
      <w:tr>
        <w:tc>
          <w:tcPr>
            <w:tcW w:type="dxa" w:w="60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1</w:t>
            </w:r>
          </w:p>
        </w:tc>
        <w:tc>
          <w:tcPr>
            <w:tcW w:type="dxa" w:w="170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Approved route and content</w:t>
            </w:r>
          </w:p>
        </w:tc>
        <w:tc>
          <w:tcPr>
            <w:tcW w:type="dxa" w:w="390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Provides fixed route, symptom labels and next-step content.</w:t>
            </w:r>
          </w:p>
        </w:tc>
        <w:tc>
          <w:tcPr>
            <w:tcW w:type="dxa" w:w="316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No model call occurs before the route is fixed.</w:t>
            </w:r>
          </w:p>
        </w:tc>
      </w:tr>
      <w:tr>
        <w:tc>
          <w:tcPr>
            <w:tcW w:type="dxa" w:w="60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2</w:t>
            </w:r>
          </w:p>
        </w:tc>
        <w:tc>
          <w:tcPr>
            <w:tcW w:type="dxa" w:w="170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Feature flag</w:t>
            </w:r>
          </w:p>
        </w:tc>
        <w:tc>
          <w:tcPr>
            <w:tcW w:type="dxa" w:w="390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ENABLE_AI_SUMMARY enables the optional workflow.</w:t>
            </w:r>
          </w:p>
        </w:tc>
        <w:tc>
          <w:tcPr>
            <w:tcW w:type="dxa" w:w="316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Off by default; returns approved Bengali fallback when off.</w:t>
            </w:r>
          </w:p>
        </w:tc>
      </w:tr>
      <w:tr>
        <w:tc>
          <w:tcPr>
            <w:tcW w:type="dxa" w:w="60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3</w:t>
            </w:r>
          </w:p>
        </w:tc>
        <w:tc>
          <w:tcPr>
            <w:tcW w:type="dxa" w:w="170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Agent orchestrator</w:t>
            </w:r>
          </w:p>
        </w:tc>
        <w:tc>
          <w:tcPr>
            <w:tcW w:type="dxa" w:w="390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Runs a bounded workflow: retrieve approved content -&gt; call permitted skill -&gt; validate -&gt; show output.</w:t>
            </w:r>
          </w:p>
        </w:tc>
        <w:tc>
          <w:tcPr>
            <w:tcW w:type="dxa" w:w="316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No autonomous planning, messaging, booking or route change.</w:t>
            </w:r>
          </w:p>
        </w:tc>
      </w:tr>
      <w:tr>
        <w:tc>
          <w:tcPr>
            <w:tcW w:type="dxa" w:w="60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4</w:t>
            </w:r>
          </w:p>
        </w:tc>
        <w:tc>
          <w:tcPr>
            <w:tcW w:type="dxa" w:w="170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Skills</w:t>
            </w:r>
          </w:p>
        </w:tc>
        <w:tc>
          <w:tcPr>
            <w:tcW w:type="dxa" w:w="390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Typed functions for Bengali summary formatting, translation, verified directory retrieval, coordinator drafting and data-quality checks.</w:t>
            </w:r>
          </w:p>
        </w:tc>
        <w:tc>
          <w:tcPr>
            <w:tcW w:type="dxa" w:w="316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Each skill is versioned, tested, least-privilege and cannot diagnose/prescribe/publish.</w:t>
            </w:r>
          </w:p>
        </w:tc>
      </w:tr>
      <w:tr>
        <w:tc>
          <w:tcPr>
            <w:tcW w:type="dxa" w:w="60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5</w:t>
            </w:r>
          </w:p>
        </w:tc>
        <w:tc>
          <w:tcPr>
            <w:tcW w:type="dxa" w:w="170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MCP gateway</w:t>
            </w:r>
          </w:p>
        </w:tc>
        <w:tc>
          <w:tcPr>
            <w:tcW w:type="dxa" w:w="390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Server-side, allowlisted connection to a read-only verified service directory or approved content store.</w:t>
            </w:r>
          </w:p>
        </w:tc>
        <w:tc>
          <w:tcPr>
            <w:tcW w:type="dxa" w:w="316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No unapproved connector, browsing source, write action or direct client access.</w:t>
            </w:r>
          </w:p>
        </w:tc>
      </w:tr>
      <w:tr>
        <w:tc>
          <w:tcPr>
            <w:tcW w:type="dxa" w:w="60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6</w:t>
            </w:r>
          </w:p>
        </w:tc>
        <w:tc>
          <w:tcPr>
            <w:tcW w:type="dxa" w:w="170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Model gateway</w:t>
            </w:r>
          </w:p>
        </w:tc>
        <w:tc>
          <w:tcPr>
            <w:tcW w:type="dxa" w:w="390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Produces an optional plain-Bengali summary from allowlisted approved inputs.</w:t>
            </w:r>
          </w:p>
        </w:tc>
        <w:tc>
          <w:tcPr>
            <w:tcW w:type="dxa" w:w="316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No raw voice, PII, precise location or unconstrained medical prompt.</w:t>
            </w:r>
          </w:p>
        </w:tc>
      </w:tr>
      <w:tr>
        <w:tc>
          <w:tcPr>
            <w:tcW w:type="dxa" w:w="60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7</w:t>
            </w:r>
          </w:p>
        </w:tc>
        <w:tc>
          <w:tcPr>
            <w:tcW w:type="dxa" w:w="170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Safety validator</w:t>
            </w:r>
          </w:p>
        </w:tc>
        <w:tc>
          <w:tcPr>
            <w:tcW w:type="dxa" w:w="390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Checks schema, language, approved action, no diagnosis/prescription/route override/invented service.</w:t>
            </w:r>
          </w:p>
        </w:tc>
        <w:tc>
          <w:tcPr>
            <w:tcW w:type="dxa" w:w="316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Failure, timeout or policy violation returns approved fallback.</w:t>
            </w:r>
          </w:p>
        </w:tc>
      </w:tr>
      <w:tr>
        <w:tc>
          <w:tcPr>
            <w:tcW w:type="dxa" w:w="60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8</w:t>
            </w:r>
          </w:p>
        </w:tc>
        <w:tc>
          <w:tcPr>
            <w:tcW w:type="dxa" w:w="170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Human review queue</w:t>
            </w:r>
          </w:p>
        </w:tc>
        <w:tc>
          <w:tcPr>
            <w:tcW w:type="dxa" w:w="390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Reviews coordinator drafts and service-data quality flags.</w:t>
            </w:r>
          </w:p>
        </w:tc>
        <w:tc>
          <w:tcPr>
            <w:tcW w:type="dxa" w:w="316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No autonomous publishing or care-service modification.</w:t>
            </w:r>
          </w:p>
        </w:tc>
      </w:tr>
    </w:tbl>
    <w:p>
      <w:pPr>
        <w:pStyle w:val="Heading1"/>
        <w:spacing w:after="100" w:before="260"/>
        <w:rPr>
          <w:rFonts w:ascii="Calibri" w:cs="Calibri" w:eastAsia="Calibri" w:hAnsi="Calibri"/>
          <w:b/>
          <w:bCs/>
          <w:color w:val="123C4A"/>
          <w:sz w:val="30"/>
          <w:szCs w:val="30"/>
        </w:rPr>
      </w:pPr>
      <w:r>
        <w:t xml:space="preserve">5. Future agent and MCP flow</w:t>
      </w:r>
    </w:p>
    <w:p>
      <w:pPr>
        <w:spacing w:after="120" w:before="0" w:line="250"/>
        <w:jc w:val="left"/>
      </w:pPr>
      <w:r>
        <w:rPr>
          <w:rFonts w:ascii="Calibri" w:cs="Calibri" w:eastAsia="Calibri" w:hAnsi="Calibri"/>
          <w:b/>
          <w:bCs/>
          <w:i w:val="false"/>
          <w:iCs w:val="false"/>
          <w:color w:val="123C4A"/>
          <w:sz w:val="20"/>
          <w:szCs w:val="20"/>
        </w:rPr>
        <w:t xml:space="preserve">Deterministic routing -&gt; approved content resolver -&gt; feature flag -&gt; bounded agent -&gt; allowlisted skills and optional read-only MCP retrieval -&gt; model -&gt; safety validator -&gt; reviewable Bengali output OR approved Bengali fallback.</w:t>
      </w:r>
    </w:p>
    <w:p>
      <w:pPr>
        <w:pStyle w:val="Heading1"/>
        <w:spacing w:after="100" w:before="260"/>
        <w:rPr>
          <w:rFonts w:ascii="Calibri" w:cs="Calibri" w:eastAsia="Calibri" w:hAnsi="Calibri"/>
          <w:b/>
          <w:bCs/>
          <w:color w:val="123C4A"/>
          <w:sz w:val="30"/>
          <w:szCs w:val="30"/>
        </w:rPr>
      </w:pPr>
      <w:r>
        <w:t xml:space="preserve">6. Security, privacy and governance controls</w:t>
      </w:r>
    </w:p>
    <w:tbl>
      <w:tblPr>
        <w:tblW w:type="dxa" w:w="9360"/>
        <w:tblBorders>
          <w:top w:val="single" w:color="D9E1E8" w:sz="4"/>
          <w:left w:val="single" w:color="D9E1E8" w:sz="4"/>
          <w:bottom w:val="single" w:color="D9E1E8" w:sz="4"/>
          <w:right w:val="single" w:color="D9E1E8" w:sz="4"/>
          <w:insideH w:val="single" w:color="D9E1E8" w:sz="4"/>
          <w:insideV w:val="single" w:color="D9E1E8" w:sz="4"/>
        </w:tblBorders>
      </w:tblPr>
      <w:tblGrid>
        <w:gridCol w:w="100"/>
        <w:gridCol w:w="100"/>
      </w:tblGrid>
      <w:tr>
        <w:trPr>
          <w:tblHeader/>
        </w:trPr>
        <w:tc>
          <w:tcPr>
            <w:tcW w:type="dxa" w:w="2400"/>
            <w:tcBorders>
              <w:top w:val="single" w:color="D9E1E8" w:sz="4"/>
              <w:left w:val="single" w:color="D9E1E8" w:sz="4"/>
              <w:bottom w:val="single" w:color="D9E1E8" w:sz="4"/>
              <w:right w:val="single" w:color="D9E1E8" w:sz="4"/>
            </w:tcBorders>
            <w:shd w:fill="E8EEF5" w:val="clear"/>
            <w:tcMar>
              <w:top w:type="dxa" w:w="80"/>
              <w:left w:type="dxa" w:w="120"/>
              <w:bottom w:type="dxa" w:w="80"/>
              <w:right w:type="dxa" w:w="120"/>
            </w:tcMar>
            <w:vAlign w:val="center"/>
          </w:tcPr>
          <w:p>
            <w:pPr>
              <w:spacing w:after="0" w:line="220"/>
            </w:pPr>
            <w:r>
              <w:rPr>
                <w:rFonts w:ascii="Calibri" w:cs="Calibri" w:eastAsia="Calibri" w:hAnsi="Calibri"/>
                <w:b/>
                <w:bCs/>
                <w:color w:val="123C4A"/>
                <w:sz w:val="18"/>
                <w:szCs w:val="18"/>
              </w:rPr>
              <w:t xml:space="preserve">Control</w:t>
            </w:r>
          </w:p>
        </w:tc>
        <w:tc>
          <w:tcPr>
            <w:tcW w:type="dxa" w:w="6960"/>
            <w:tcBorders>
              <w:top w:val="single" w:color="D9E1E8" w:sz="4"/>
              <w:left w:val="single" w:color="D9E1E8" w:sz="4"/>
              <w:bottom w:val="single" w:color="D9E1E8" w:sz="4"/>
              <w:right w:val="single" w:color="D9E1E8" w:sz="4"/>
            </w:tcBorders>
            <w:shd w:fill="E8EEF5" w:val="clear"/>
            <w:tcMar>
              <w:top w:type="dxa" w:w="80"/>
              <w:left w:type="dxa" w:w="120"/>
              <w:bottom w:type="dxa" w:w="80"/>
              <w:right w:type="dxa" w:w="120"/>
            </w:tcMar>
            <w:vAlign w:val="center"/>
          </w:tcPr>
          <w:p>
            <w:pPr>
              <w:spacing w:after="0" w:line="220"/>
            </w:pPr>
            <w:r>
              <w:rPr>
                <w:rFonts w:ascii="Calibri" w:cs="Calibri" w:eastAsia="Calibri" w:hAnsi="Calibri"/>
                <w:b/>
                <w:bCs/>
                <w:color w:val="123C4A"/>
                <w:sz w:val="18"/>
                <w:szCs w:val="18"/>
              </w:rPr>
              <w:t xml:space="preserve">Required implementation</w:t>
            </w:r>
          </w:p>
        </w:tc>
      </w:tr>
      <w:tr>
        <w:tc>
          <w:tcPr>
            <w:tcW w:type="dxa" w:w="240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Model and connector access</w:t>
            </w:r>
          </w:p>
        </w:tc>
        <w:tc>
          <w:tcPr>
            <w:tcW w:type="dxa" w:w="696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Backend-only credentials in secret manager; no API key in PWA; allowlisted endpoints/tools and scoped server identities.</w:t>
            </w:r>
          </w:p>
        </w:tc>
      </w:tr>
      <w:tr>
        <w:tc>
          <w:tcPr>
            <w:tcW w:type="dxa" w:w="240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Input minimisation</w:t>
            </w:r>
          </w:p>
        </w:tc>
        <w:tc>
          <w:tcPr>
            <w:tcW w:type="dxa" w:w="696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Only route/result code, approved symptom labels and approved next-step content may reach the model; consented data only where independently approved.</w:t>
            </w:r>
          </w:p>
        </w:tc>
      </w:tr>
      <w:tr>
        <w:tc>
          <w:tcPr>
            <w:tcW w:type="dxa" w:w="240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Auditability</w:t>
            </w:r>
          </w:p>
        </w:tc>
        <w:tc>
          <w:tcPr>
            <w:tcW w:type="dxa" w:w="696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Store correlation ID, rule/content version, feature flag, skill/MCP identifier, latency, validation decision and fallback status; omit PII and raw prompts by default.</w:t>
            </w:r>
          </w:p>
        </w:tc>
      </w:tr>
      <w:tr>
        <w:tc>
          <w:tcPr>
            <w:tcW w:type="dxa" w:w="240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Human oversight</w:t>
            </w:r>
          </w:p>
        </w:tc>
        <w:tc>
          <w:tcPr>
            <w:tcW w:type="dxa" w:w="696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A named owner approves prompts, models, skills, connectors, service records and content releases; every change has a rollback path.</w:t>
            </w:r>
          </w:p>
        </w:tc>
      </w:tr>
      <w:tr>
        <w:tc>
          <w:tcPr>
            <w:tcW w:type="dxa" w:w="240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Failure-safe behaviour</w:t>
            </w:r>
          </w:p>
        </w:tc>
        <w:tc>
          <w:tcPr>
            <w:tcW w:type="dxa" w:w="696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AI or MCP failure cannot interrupt routing, care guidance, share/copy or human-support navigation.</w:t>
            </w:r>
          </w:p>
        </w:tc>
      </w:tr>
    </w:tbl>
    <w:p>
      <w:pPr>
        <w:pStyle w:val="Heading1"/>
        <w:spacing w:after="100" w:before="260"/>
        <w:rPr>
          <w:rFonts w:ascii="Calibri" w:cs="Calibri" w:eastAsia="Calibri" w:hAnsi="Calibri"/>
          <w:b/>
          <w:bCs/>
          <w:color w:val="123C4A"/>
          <w:sz w:val="30"/>
          <w:szCs w:val="30"/>
        </w:rPr>
      </w:pPr>
      <w:r>
        <w:t xml:space="preserve">7. Deployment view</w:t>
      </w:r>
    </w:p>
    <w:tbl>
      <w:tblPr>
        <w:tblW w:type="dxa" w:w="9360"/>
        <w:tblBorders>
          <w:top w:val="single" w:color="D9E1E8" w:sz="4"/>
          <w:left w:val="single" w:color="D9E1E8" w:sz="4"/>
          <w:bottom w:val="single" w:color="D9E1E8" w:sz="4"/>
          <w:right w:val="single" w:color="D9E1E8" w:sz="4"/>
          <w:insideH w:val="single" w:color="D9E1E8" w:sz="4"/>
          <w:insideV w:val="single" w:color="D9E1E8" w:sz="4"/>
        </w:tblBorders>
      </w:tblPr>
      <w:tblGrid>
        <w:gridCol w:w="100"/>
        <w:gridCol w:w="100"/>
        <w:gridCol w:w="100"/>
      </w:tblGrid>
      <w:tr>
        <w:trPr>
          <w:tblHeader/>
        </w:trPr>
        <w:tc>
          <w:tcPr>
            <w:tcW w:type="dxa" w:w="1600"/>
            <w:tcBorders>
              <w:top w:val="single" w:color="D9E1E8" w:sz="4"/>
              <w:left w:val="single" w:color="D9E1E8" w:sz="4"/>
              <w:bottom w:val="single" w:color="D9E1E8" w:sz="4"/>
              <w:right w:val="single" w:color="D9E1E8" w:sz="4"/>
            </w:tcBorders>
            <w:shd w:fill="E8EEF5" w:val="clear"/>
            <w:tcMar>
              <w:top w:type="dxa" w:w="80"/>
              <w:left w:type="dxa" w:w="120"/>
              <w:bottom w:type="dxa" w:w="80"/>
              <w:right w:type="dxa" w:w="120"/>
            </w:tcMar>
            <w:vAlign w:val="center"/>
          </w:tcPr>
          <w:p>
            <w:pPr>
              <w:spacing w:after="0" w:line="220"/>
            </w:pPr>
            <w:r>
              <w:rPr>
                <w:rFonts w:ascii="Calibri" w:cs="Calibri" w:eastAsia="Calibri" w:hAnsi="Calibri"/>
                <w:b/>
                <w:bCs/>
                <w:color w:val="123C4A"/>
                <w:sz w:val="18"/>
                <w:szCs w:val="18"/>
              </w:rPr>
              <w:t xml:space="preserve">Zone</w:t>
            </w:r>
          </w:p>
        </w:tc>
        <w:tc>
          <w:tcPr>
            <w:tcW w:type="dxa" w:w="3600"/>
            <w:tcBorders>
              <w:top w:val="single" w:color="D9E1E8" w:sz="4"/>
              <w:left w:val="single" w:color="D9E1E8" w:sz="4"/>
              <w:bottom w:val="single" w:color="D9E1E8" w:sz="4"/>
              <w:right w:val="single" w:color="D9E1E8" w:sz="4"/>
            </w:tcBorders>
            <w:shd w:fill="E8EEF5" w:val="clear"/>
            <w:tcMar>
              <w:top w:type="dxa" w:w="80"/>
              <w:left w:type="dxa" w:w="120"/>
              <w:bottom w:type="dxa" w:w="80"/>
              <w:right w:type="dxa" w:w="120"/>
            </w:tcMar>
            <w:vAlign w:val="center"/>
          </w:tcPr>
          <w:p>
            <w:pPr>
              <w:spacing w:after="0" w:line="220"/>
            </w:pPr>
            <w:r>
              <w:rPr>
                <w:rFonts w:ascii="Calibri" w:cs="Calibri" w:eastAsia="Calibri" w:hAnsi="Calibri"/>
                <w:b/>
                <w:bCs/>
                <w:color w:val="123C4A"/>
                <w:sz w:val="18"/>
                <w:szCs w:val="18"/>
              </w:rPr>
              <w:t xml:space="preserve">Current MVP</w:t>
            </w:r>
          </w:p>
        </w:tc>
        <w:tc>
          <w:tcPr>
            <w:tcW w:type="dxa" w:w="4160"/>
            <w:tcBorders>
              <w:top w:val="single" w:color="D9E1E8" w:sz="4"/>
              <w:left w:val="single" w:color="D9E1E8" w:sz="4"/>
              <w:bottom w:val="single" w:color="D9E1E8" w:sz="4"/>
              <w:right w:val="single" w:color="D9E1E8" w:sz="4"/>
            </w:tcBorders>
            <w:shd w:fill="E8EEF5" w:val="clear"/>
            <w:tcMar>
              <w:top w:type="dxa" w:w="80"/>
              <w:left w:type="dxa" w:w="120"/>
              <w:bottom w:type="dxa" w:w="80"/>
              <w:right w:type="dxa" w:w="120"/>
            </w:tcMar>
            <w:vAlign w:val="center"/>
          </w:tcPr>
          <w:p>
            <w:pPr>
              <w:spacing w:after="0" w:line="220"/>
            </w:pPr>
            <w:r>
              <w:rPr>
                <w:rFonts w:ascii="Calibri" w:cs="Calibri" w:eastAsia="Calibri" w:hAnsi="Calibri"/>
                <w:b/>
                <w:bCs/>
                <w:color w:val="123C4A"/>
                <w:sz w:val="18"/>
                <w:szCs w:val="18"/>
              </w:rPr>
              <w:t xml:space="preserve">Future controlled-pilot addition</w:t>
            </w:r>
          </w:p>
        </w:tc>
      </w:tr>
      <w:tr>
        <w:tc>
          <w:tcPr>
            <w:tcW w:type="dxa" w:w="160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Public edge</w:t>
            </w:r>
          </w:p>
        </w:tc>
        <w:tc>
          <w:tcPr>
            <w:tcW w:type="dxa" w:w="360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React PWA on Vercel, Netlify or equivalent HTTPS host.</w:t>
            </w:r>
          </w:p>
        </w:tc>
        <w:tc>
          <w:tcPr>
            <w:tcW w:type="dxa" w:w="416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No model credential or MCP access exposed to browser.</w:t>
            </w:r>
          </w:p>
        </w:tc>
      </w:tr>
      <w:tr>
        <w:tc>
          <w:tcPr>
            <w:tcW w:type="dxa" w:w="160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Application</w:t>
            </w:r>
          </w:p>
        </w:tc>
        <w:tc>
          <w:tcPr>
            <w:tcW w:type="dxa" w:w="360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Spring Boot API on managed platform with Spring Security and validation.</w:t>
            </w:r>
          </w:p>
        </w:tc>
        <w:tc>
          <w:tcPr>
            <w:tcW w:type="dxa" w:w="416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AI gateway, agent orchestrator, skill registry, validator and audit service.</w:t>
            </w:r>
          </w:p>
        </w:tc>
      </w:tr>
      <w:tr>
        <w:tc>
          <w:tcPr>
            <w:tcW w:type="dxa" w:w="160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Data</w:t>
            </w:r>
          </w:p>
        </w:tc>
        <w:tc>
          <w:tcPr>
            <w:tcW w:type="dxa" w:w="360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Managed PostgreSQL for governed rules, content and service directory.</w:t>
            </w:r>
          </w:p>
        </w:tc>
        <w:tc>
          <w:tcPr>
            <w:tcW w:type="dxa" w:w="416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Prompt/skill/connector registry metadata and non-identifying evaluation/audit data.</w:t>
            </w:r>
          </w:p>
        </w:tc>
      </w:tr>
      <w:tr>
        <w:tc>
          <w:tcPr>
            <w:tcW w:type="dxa" w:w="160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External</w:t>
            </w:r>
          </w:p>
        </w:tc>
        <w:tc>
          <w:tcPr>
            <w:tcW w:type="dxa" w:w="360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Optional browser location/share/speech capabilities.</w:t>
            </w:r>
          </w:p>
        </w:tc>
        <w:tc>
          <w:tcPr>
            <w:tcW w:type="dxa" w:w="416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OpenAI model endpoint and approved read-only MCP service-directory/content connectors.</w:t>
            </w:r>
          </w:p>
        </w:tc>
      </w:tr>
    </w:tbl>
    <w:p>
      <w:pPr>
        <w:pStyle w:val="Heading1"/>
        <w:spacing w:after="100" w:before="260"/>
        <w:rPr>
          <w:rFonts w:ascii="Calibri" w:cs="Calibri" w:eastAsia="Calibri" w:hAnsi="Calibri"/>
          <w:b/>
          <w:bCs/>
          <w:color w:val="123C4A"/>
          <w:sz w:val="30"/>
          <w:szCs w:val="30"/>
        </w:rPr>
      </w:pPr>
      <w:r>
        <w:t xml:space="preserve">8. Implementation sequence and acceptance gates</w:t>
      </w:r>
    </w:p>
    <w:tbl>
      <w:tblPr>
        <w:tblW w:type="dxa" w:w="9360"/>
        <w:tblBorders>
          <w:top w:val="single" w:color="D9E1E8" w:sz="4"/>
          <w:left w:val="single" w:color="D9E1E8" w:sz="4"/>
          <w:bottom w:val="single" w:color="D9E1E8" w:sz="4"/>
          <w:right w:val="single" w:color="D9E1E8" w:sz="4"/>
          <w:insideH w:val="single" w:color="D9E1E8" w:sz="4"/>
          <w:insideV w:val="single" w:color="D9E1E8" w:sz="4"/>
        </w:tblBorders>
      </w:tblPr>
      <w:tblGrid>
        <w:gridCol w:w="100"/>
        <w:gridCol w:w="100"/>
        <w:gridCol w:w="100"/>
      </w:tblGrid>
      <w:tr>
        <w:trPr>
          <w:tblHeader/>
        </w:trPr>
        <w:tc>
          <w:tcPr>
            <w:tcW w:type="dxa" w:w="1500"/>
            <w:tcBorders>
              <w:top w:val="single" w:color="D9E1E8" w:sz="4"/>
              <w:left w:val="single" w:color="D9E1E8" w:sz="4"/>
              <w:bottom w:val="single" w:color="D9E1E8" w:sz="4"/>
              <w:right w:val="single" w:color="D9E1E8" w:sz="4"/>
            </w:tcBorders>
            <w:shd w:fill="E8EEF5" w:val="clear"/>
            <w:tcMar>
              <w:top w:type="dxa" w:w="80"/>
              <w:left w:type="dxa" w:w="120"/>
              <w:bottom w:type="dxa" w:w="80"/>
              <w:right w:type="dxa" w:w="120"/>
            </w:tcMar>
            <w:vAlign w:val="center"/>
          </w:tcPr>
          <w:p>
            <w:pPr>
              <w:spacing w:after="0" w:line="220"/>
            </w:pPr>
            <w:r>
              <w:rPr>
                <w:rFonts w:ascii="Calibri" w:cs="Calibri" w:eastAsia="Calibri" w:hAnsi="Calibri"/>
                <w:b/>
                <w:bCs/>
                <w:color w:val="123C4A"/>
                <w:sz w:val="18"/>
                <w:szCs w:val="18"/>
              </w:rPr>
              <w:t xml:space="preserve">Phase</w:t>
            </w:r>
          </w:p>
        </w:tc>
        <w:tc>
          <w:tcPr>
            <w:tcW w:type="dxa" w:w="3800"/>
            <w:tcBorders>
              <w:top w:val="single" w:color="D9E1E8" w:sz="4"/>
              <w:left w:val="single" w:color="D9E1E8" w:sz="4"/>
              <w:bottom w:val="single" w:color="D9E1E8" w:sz="4"/>
              <w:right w:val="single" w:color="D9E1E8" w:sz="4"/>
            </w:tcBorders>
            <w:shd w:fill="E8EEF5" w:val="clear"/>
            <w:tcMar>
              <w:top w:type="dxa" w:w="80"/>
              <w:left w:type="dxa" w:w="120"/>
              <w:bottom w:type="dxa" w:w="80"/>
              <w:right w:type="dxa" w:w="120"/>
            </w:tcMar>
            <w:vAlign w:val="center"/>
          </w:tcPr>
          <w:p>
            <w:pPr>
              <w:spacing w:after="0" w:line="220"/>
            </w:pPr>
            <w:r>
              <w:rPr>
                <w:rFonts w:ascii="Calibri" w:cs="Calibri" w:eastAsia="Calibri" w:hAnsi="Calibri"/>
                <w:b/>
                <w:bCs/>
                <w:color w:val="123C4A"/>
                <w:sz w:val="18"/>
                <w:szCs w:val="18"/>
              </w:rPr>
              <w:t xml:space="preserve">Deliverable</w:t>
            </w:r>
          </w:p>
        </w:tc>
        <w:tc>
          <w:tcPr>
            <w:tcW w:type="dxa" w:w="4060"/>
            <w:tcBorders>
              <w:top w:val="single" w:color="D9E1E8" w:sz="4"/>
              <w:left w:val="single" w:color="D9E1E8" w:sz="4"/>
              <w:bottom w:val="single" w:color="D9E1E8" w:sz="4"/>
              <w:right w:val="single" w:color="D9E1E8" w:sz="4"/>
            </w:tcBorders>
            <w:shd w:fill="E8EEF5" w:val="clear"/>
            <w:tcMar>
              <w:top w:type="dxa" w:w="80"/>
              <w:left w:type="dxa" w:w="120"/>
              <w:bottom w:type="dxa" w:w="80"/>
              <w:right w:type="dxa" w:w="120"/>
            </w:tcMar>
            <w:vAlign w:val="center"/>
          </w:tcPr>
          <w:p>
            <w:pPr>
              <w:spacing w:after="0" w:line="220"/>
            </w:pPr>
            <w:r>
              <w:rPr>
                <w:rFonts w:ascii="Calibri" w:cs="Calibri" w:eastAsia="Calibri" w:hAnsi="Calibri"/>
                <w:b/>
                <w:bCs/>
                <w:color w:val="123C4A"/>
                <w:sz w:val="18"/>
                <w:szCs w:val="18"/>
              </w:rPr>
              <w:t xml:space="preserve">Gate</w:t>
            </w:r>
          </w:p>
        </w:tc>
      </w:tr>
      <w:tr>
        <w:tc>
          <w:tcPr>
            <w:tcW w:type="dxa" w:w="150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MVP</w:t>
            </w:r>
          </w:p>
        </w:tc>
        <w:tc>
          <w:tcPr>
            <w:tcW w:type="dxa" w:w="380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Deterministic routing, approved Bengali content, care navigation, fallback and PWA.</w:t>
            </w:r>
          </w:p>
        </w:tc>
        <w:tc>
          <w:tcPr>
            <w:tcW w:type="dxa" w:w="406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All reviewed rules pass; no AI can influence route.</w:t>
            </w:r>
          </w:p>
        </w:tc>
      </w:tr>
      <w:tr>
        <w:tc>
          <w:tcPr>
            <w:tcW w:type="dxa" w:w="150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Controlled summary pilot</w:t>
            </w:r>
          </w:p>
        </w:tc>
        <w:tc>
          <w:tcPr>
            <w:tcW w:type="dxa" w:w="380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Feature-flagged caregiver summary from approved result content.</w:t>
            </w:r>
          </w:p>
        </w:tc>
        <w:tc>
          <w:tcPr>
            <w:tcW w:type="dxa" w:w="406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Clinician/content review, privacy review, Bengali output evaluation, failure fallback tests.</w:t>
            </w:r>
          </w:p>
        </w:tc>
      </w:tr>
      <w:tr>
        <w:tc>
          <w:tcPr>
            <w:tcW w:type="dxa" w:w="150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Retrieval and coordinator pilot</w:t>
            </w:r>
          </w:p>
        </w:tc>
        <w:tc>
          <w:tcPr>
            <w:tcW w:type="dxa" w:w="380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Verified-directory MCP retrieval, coordinator draft and data-quality skills.</w:t>
            </w:r>
          </w:p>
        </w:tc>
        <w:tc>
          <w:tcPr>
            <w:tcW w:type="dxa" w:w="406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Partner data source, freshness owner, audit logs, read-only scope and human approval workflow.</w:t>
            </w:r>
          </w:p>
        </w:tc>
      </w:tr>
      <w:tr>
        <w:tc>
          <w:tcPr>
            <w:tcW w:type="dxa" w:w="150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Future expansion</w:t>
            </w:r>
          </w:p>
        </w:tc>
        <w:tc>
          <w:tcPr>
            <w:tcW w:type="dxa" w:w="380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Governed conversational navigation assistance and aggregate analytics.</w:t>
            </w:r>
          </w:p>
        </w:tc>
        <w:tc>
          <w:tcPr>
            <w:tcW w:type="dxa" w:w="4060"/>
            <w:tcBorders>
              <w:top w:val="single" w:color="D9E1E8" w:sz="4"/>
              <w:left w:val="single" w:color="D9E1E8" w:sz="4"/>
              <w:bottom w:val="single" w:color="D9E1E8" w:sz="4"/>
              <w:right w:val="single" w:color="D9E1E8" w:sz="4"/>
            </w:tcBorders>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Measured user value, accessibility, bias/privacy assessment, incident process and rollback plan.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D9E1E8" w:sz="4"/>
              <w:left w:val="single" w:color="D9E1E8" w:sz="4"/>
              <w:bottom w:val="single" w:color="D9E1E8" w:sz="4"/>
              <w:right w:val="single" w:color="D9E1E8" w:sz="4"/>
            </w:tcBorders>
            <w:shd w:fill="FFF4D6" w:val="clear"/>
            <w:tcMar>
              <w:top w:type="dxa" w:w="80"/>
              <w:left w:type="dxa" w:w="120"/>
              <w:bottom w:type="dxa" w:w="80"/>
              <w:right w:type="dxa" w:w="120"/>
            </w:tcMar>
            <w:vAlign w:val="center"/>
          </w:tcPr>
          <w:p>
            <w:pPr>
              <w:spacing w:after="0" w:line="220"/>
            </w:pPr>
            <w:r>
              <w:rPr>
                <w:rFonts w:ascii="Calibri" w:cs="Calibri" w:eastAsia="Calibri" w:hAnsi="Calibri"/>
                <w:b w:val="false"/>
                <w:bCs w:val="false"/>
                <w:color w:val="263D48"/>
                <w:sz w:val="17"/>
                <w:szCs w:val="17"/>
              </w:rPr>
              <w:t xml:space="preserve">HLD decision: Agent, MCP, Skills and Model are assistive, bounded and downstream of reviewed deterministic routing. They can add access and operational value, but they cannot diagnose disease, prescribe treatment, alter urgency, autonomously book care, contact users or publish service changes.</w:t>
            </w:r>
          </w:p>
        </w:tc>
      </w:tr>
    </w:tbl>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e70a6db66819ab1470f08dbd2c47bc7c2df2930.png"/><Relationship Id="rId8" Type="http://schemas.openxmlformats.org/officeDocument/2006/relationships/image" Target="media/fe8c31ace27b2c85cd6d15b2909fa6136ceabcd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2026-08-04T16:31:01.656Z</dcterms:created>
  <dcterms:modified xsi:type="dcterms:W3CDTF">2026-08-04T16:31:01.656Z</dcterms:modified>
</cp:coreProperties>
</file>

<file path=docProps/custom.xml><?xml version="1.0" encoding="utf-8"?>
<Properties xmlns="http://schemas.openxmlformats.org/officeDocument/2006/custom-properties" xmlns:vt="http://schemas.openxmlformats.org/officeDocument/2006/docPropsVTypes"/>
</file>