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4 TASK</w:t>
      </w:r>
    </w:p>
    <w:p>
      <w:pPr>
        <w:jc w:val="center"/>
      </w:pPr>
      <w:r>
        <w:rPr>
          <w:b/>
          <w:sz w:val="46"/>
        </w:rPr>
        <w:t>Developing an Implementation Roadmap</w:t>
        <w:br/>
        <w:t>for a Healthcare AI System</w:t>
      </w:r>
    </w:p>
    <w:p>
      <w:pPr>
        <w:jc w:val="center"/>
      </w:pPr>
      <w:r>
        <w:rPr>
          <w:b/>
          <w:sz w:val="30"/>
        </w:rPr>
        <w:t>AI-Assisted Breast Cancer Diagnostic Decision Support</w:t>
      </w:r>
    </w:p>
    <w:p>
      <w:pPr>
        <w:jc w:val="center"/>
      </w:pPr>
      <w:r>
        <w:rPr>
          <w:sz w:val="22"/>
        </w:rPr>
        <w:br/>
        <w:t>Prepared by: Rahul Kumar</w:t>
        <w:br/>
        <w:t>B.Pharm Student</w:t>
        <w:br/>
        <w:t>YUVA Intern – Healthcare AI</w:t>
        <w:br/>
        <w:t>Academic / Educational Prototype</w:t>
      </w:r>
    </w:p>
    <w:p/>
    <w:p>
      <w:pPr>
        <w:jc w:val="center"/>
      </w:pPr>
      <w:r>
        <w:rPr>
          <w:i/>
          <w:sz w:val="20"/>
        </w:rPr>
        <w:t>Implementation horizon: 12 months | Pilot-first | Human-in-the-loop</w:t>
      </w:r>
    </w:p>
    <w:p>
      <w:r>
        <w:br w:type="page"/>
      </w:r>
    </w:p>
    <w:p>
      <w:pPr>
        <w:pStyle w:val="Heading1"/>
      </w:pPr>
      <w:r>
        <w:t>1. Executive Summary</w:t>
      </w:r>
    </w:p>
    <w:p>
      <w:pPr>
        <w:spacing w:after="160"/>
      </w:pPr>
      <w:r>
        <w:t>This implementation roadmap proposes a practical, phased approach for introducing an AI-assisted breast cancer diagnostic decision-support system into a healthcare setting. The proposed system is designed to support clinicians by analysing structured diagnostic information and generating a risk classification or decision-support output for review by qualified healthcare professionals. It is not intended to replace a physician, pathologist, radiologist, or other clinical decision-maker. The roadmap deliberately focuses on safe implementation rather than only model accuracy, because a clinically useful AI system must fit the workflow, protect patient data, provide interpretable outputs, remain available when needed, and be monitored after deployment.</w:t>
        <w:br/>
        <w:br/>
        <w:t>The implementation is divided into discovery and governance, data preparation, model development and validation, technical integration, silent-mode testing, controlled clinical pilot, evaluation, and scale-up. A 12-month timeline is proposed so that each stage has a defined milestone, owner, and acceptance criterion. The plan also identifies the major stakeholders: clinicians, pathology/radiology staff, pharmacists and biomedical experts where relevant, data scientists, software engineers, IT and cybersecurity teams, hospital administrators, quality and compliance personnel, and patients or patient representatives.</w:t>
        <w:br/>
        <w:br/>
        <w:t>The roadmap includes an indicative budget, technical architecture, resource requirements, training plan, risk register, KPI framework, clinical-safety controls, and scalability strategy. Particular attention is given to false negatives, dataset bias, data drift, cybersecurity, system downtime, workflow disruption, alert fatigue, explainability, and human oversight. The recommended deployment strategy is therefore pilot-first: validate the system locally, run it in silent mode before exposing outputs to clinicians, begin with a limited user group, monitor predefined safety and performance indicators, and expand only when acceptance thresholds are met.</w:t>
      </w:r>
    </w:p>
    <w:p>
      <w:pPr>
        <w:pStyle w:val="Heading1"/>
      </w:pPr>
      <w:r>
        <w:t>2. Healthcare Application and Clinical Problem</w:t>
      </w:r>
    </w:p>
    <w:p>
      <w:pPr>
        <w:spacing w:after="160"/>
      </w:pPr>
      <w:r>
        <w:t>The selected application is AI-assisted breast cancer diagnostic decision support using structured clinical and diagnostic data. Breast cancer diagnosis is a high-impact healthcare process in which clinicians may need to combine patient history, examination findings, laboratory or pathology measurements, imaging observations, and other evidence before deciding whether a lesion or case requires further investigation. An AI system can potentially help organise this information and provide a consistent risk estimate or classification that supports prioritisation and clinical review. The proposed implementation is intentionally framed as decision support rather than autonomous diagnosis.</w:t>
        <w:br/>
        <w:br/>
        <w:t>The clinical problem addressed by the system is variability in interpretation, the large volume of cases that may require review, and the need to identify higher-risk cases efficiently without removing expert judgement. The system would accept predefined, validated input variables and return a risk category, confidence information, and an explanation of the factors that contributed to the output. A clinician would remain responsible for interpreting the result in the context of the full patient record and deciding what action, if any, is appropriate.</w:t>
        <w:br/>
        <w:br/>
        <w:t>The implementation should begin in a controlled diagnostic department or pilot site with clearly defined inclusion and exclusion criteria. For example, the initial version can be restricted to adult patients whose data fields match the validated model population. Cases with missing critical information, unusual presentations, or data outside the validated range should be flagged for manual review rather than forced through the model. This application is appropriate for the roadmap because it connects directly to diagnostic workflow, requires strong privacy and safety controls, and allows technical performance to be evaluated alongside clinical usefulness, usability, fairness, and scalability.</w:t>
      </w:r>
    </w:p>
    <w:p>
      <w:pPr>
        <w:pStyle w:val="Heading1"/>
      </w:pPr>
      <w:r>
        <w:t>3. Objectives, Scope and Success Criteria</w:t>
      </w:r>
    </w:p>
    <w:p>
      <w:pPr>
        <w:spacing w:after="160"/>
      </w:pPr>
      <w:r>
        <w:t>The primary objective is to implement a clinically responsible AI decision-support workflow that improves consistency and efficiency of diagnostic risk assessment while preserving human oversight. The project will not attempt to automate the complete diagnosis of breast cancer. Instead, it will establish a validated support layer that can be evaluated within a real clinical workflow. Secondary objectives are to demonstrate secure data handling, interoperability with existing systems, interpretable outputs, measurable clinical utility, and a repeatable process for monitoring the system after deployment.</w:t>
        <w:br/>
        <w:br/>
        <w:t>The project scope includes data governance, dataset preparation, model selection and validation, software development, user-interface design, integration planning, cybersecurity, user training, pilot deployment, performance monitoring, and scale-up criteria. Out of scope for the initial pilot are autonomous treatment decisions, unsupervised use by patients, and deployment outside the population for which the model has been validated. These boundaries reduce the risk of overextending the technology before sufficient evidence is available.</w:t>
        <w:br/>
        <w:br/>
        <w:t>Success should be defined before deployment. Proposed technical thresholds include a high sensitivity target for the screening/risk-stratification use case, acceptable specificity, stable calibration, and consistent performance across relevant patient subgroups. Operational targets include high system availability, low median response time, successful integration with the clinical workflow, and low rates of technical failure. User targets include clinician training completion, satisfactory usability scores, and evidence that the tool does not create excessive alert burden. Clinical-safety targets include documented override capability, audit logs, incident reporting, and a clear escalation pathway. The system should progress to the next phase only when predefined acceptance criteria are met.</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AF7"/>
          </w:tcPr>
          <w:p>
            <w:pPr>
              <w:pStyle w:val="TableText"/>
            </w:pPr>
            <w:r/>
            <w:r>
              <w:rPr>
                <w:b/>
              </w:rPr>
              <w:t>Success Dimension</w:t>
            </w:r>
          </w:p>
        </w:tc>
        <w:tc>
          <w:tcPr>
            <w:tcW w:type="dxa" w:w="3888"/>
            <w:vAlign w:val="center"/>
            <w:shd w:fill="D9EAF7"/>
          </w:tcPr>
          <w:p>
            <w:pPr>
              <w:pStyle w:val="TableText"/>
            </w:pPr>
            <w:r/>
            <w:r>
              <w:rPr>
                <w:b/>
              </w:rPr>
              <w:t>Example KPI</w:t>
            </w:r>
          </w:p>
        </w:tc>
        <w:tc>
          <w:tcPr>
            <w:tcW w:type="dxa" w:w="3600"/>
            <w:vAlign w:val="center"/>
            <w:shd w:fill="D9EAF7"/>
          </w:tcPr>
          <w:p>
            <w:pPr>
              <w:pStyle w:val="TableText"/>
            </w:pPr>
            <w:r/>
            <w:r>
              <w:rPr>
                <w:b/>
              </w:rPr>
              <w:t>Initial Target / Gate</w:t>
            </w:r>
          </w:p>
        </w:tc>
      </w:tr>
      <w:tr>
        <w:tc>
          <w:tcPr>
            <w:tcW w:type="dxa" w:w="2160"/>
            <w:vAlign w:val="center"/>
          </w:tcPr>
          <w:p>
            <w:pPr>
              <w:pStyle w:val="TableText"/>
            </w:pPr>
            <w:r/>
            <w:r>
              <w:rPr>
                <w:b w:val="0"/>
              </w:rPr>
              <w:t>Clinical performance</w:t>
            </w:r>
          </w:p>
        </w:tc>
        <w:tc>
          <w:tcPr>
            <w:tcW w:type="dxa" w:w="3888"/>
            <w:vAlign w:val="center"/>
          </w:tcPr>
          <w:p>
            <w:pPr>
              <w:pStyle w:val="TableText"/>
            </w:pPr>
            <w:r/>
            <w:r>
              <w:rPr>
                <w:b w:val="0"/>
              </w:rPr>
              <w:t>Sensitivity / specificity / F1 / AUROC</w:t>
            </w:r>
          </w:p>
        </w:tc>
        <w:tc>
          <w:tcPr>
            <w:tcW w:type="dxa" w:w="3600"/>
            <w:vAlign w:val="center"/>
          </w:tcPr>
          <w:p>
            <w:pPr>
              <w:pStyle w:val="TableText"/>
            </w:pPr>
            <w:r/>
            <w:r>
              <w:rPr>
                <w:b w:val="0"/>
              </w:rPr>
              <w:t>Predefined before pilot; meet validation gate</w:t>
            </w:r>
          </w:p>
        </w:tc>
      </w:tr>
      <w:tr>
        <w:tc>
          <w:tcPr>
            <w:tcW w:type="dxa" w:w="2160"/>
            <w:vAlign w:val="center"/>
          </w:tcPr>
          <w:p>
            <w:pPr>
              <w:pStyle w:val="TableText"/>
            </w:pPr>
            <w:r/>
            <w:r>
              <w:rPr>
                <w:b w:val="0"/>
              </w:rPr>
              <w:t>Calibration</w:t>
            </w:r>
          </w:p>
        </w:tc>
        <w:tc>
          <w:tcPr>
            <w:tcW w:type="dxa" w:w="3888"/>
            <w:vAlign w:val="center"/>
          </w:tcPr>
          <w:p>
            <w:pPr>
              <w:pStyle w:val="TableText"/>
            </w:pPr>
            <w:r/>
            <w:r>
              <w:rPr>
                <w:b w:val="0"/>
              </w:rPr>
              <w:t>Calibration error / calibration curve</w:t>
            </w:r>
          </w:p>
        </w:tc>
        <w:tc>
          <w:tcPr>
            <w:tcW w:type="dxa" w:w="3600"/>
            <w:vAlign w:val="center"/>
          </w:tcPr>
          <w:p>
            <w:pPr>
              <w:pStyle w:val="TableText"/>
            </w:pPr>
            <w:r/>
            <w:r>
              <w:rPr>
                <w:b w:val="0"/>
              </w:rPr>
              <w:t>Acceptable and stable on local validation set</w:t>
            </w:r>
          </w:p>
        </w:tc>
      </w:tr>
      <w:tr>
        <w:tc>
          <w:tcPr>
            <w:tcW w:type="dxa" w:w="2160"/>
            <w:vAlign w:val="center"/>
          </w:tcPr>
          <w:p>
            <w:pPr>
              <w:pStyle w:val="TableText"/>
            </w:pPr>
            <w:r/>
            <w:r>
              <w:rPr>
                <w:b w:val="0"/>
              </w:rPr>
              <w:t>Safety</w:t>
            </w:r>
          </w:p>
        </w:tc>
        <w:tc>
          <w:tcPr>
            <w:tcW w:type="dxa" w:w="3888"/>
            <w:vAlign w:val="center"/>
          </w:tcPr>
          <w:p>
            <w:pPr>
              <w:pStyle w:val="TableText"/>
            </w:pPr>
            <w:r/>
            <w:r>
              <w:rPr>
                <w:b w:val="0"/>
              </w:rPr>
              <w:t>False-negative review rate</w:t>
            </w:r>
          </w:p>
        </w:tc>
        <w:tc>
          <w:tcPr>
            <w:tcW w:type="dxa" w:w="3600"/>
            <w:vAlign w:val="center"/>
          </w:tcPr>
          <w:p>
            <w:pPr>
              <w:pStyle w:val="TableText"/>
            </w:pPr>
            <w:r/>
            <w:r>
              <w:rPr>
                <w:b w:val="0"/>
              </w:rPr>
              <w:t>Within predefined safety threshold</w:t>
            </w:r>
          </w:p>
        </w:tc>
      </w:tr>
      <w:tr>
        <w:tc>
          <w:tcPr>
            <w:tcW w:type="dxa" w:w="2160"/>
            <w:vAlign w:val="center"/>
          </w:tcPr>
          <w:p>
            <w:pPr>
              <w:pStyle w:val="TableText"/>
            </w:pPr>
            <w:r/>
            <w:r>
              <w:rPr>
                <w:b w:val="0"/>
              </w:rPr>
              <w:t>Workflow</w:t>
            </w:r>
          </w:p>
        </w:tc>
        <w:tc>
          <w:tcPr>
            <w:tcW w:type="dxa" w:w="3888"/>
            <w:vAlign w:val="center"/>
          </w:tcPr>
          <w:p>
            <w:pPr>
              <w:pStyle w:val="TableText"/>
            </w:pPr>
            <w:r/>
            <w:r>
              <w:rPr>
                <w:b w:val="0"/>
              </w:rPr>
              <w:t>Median response time</w:t>
            </w:r>
          </w:p>
        </w:tc>
        <w:tc>
          <w:tcPr>
            <w:tcW w:type="dxa" w:w="3600"/>
            <w:vAlign w:val="center"/>
          </w:tcPr>
          <w:p>
            <w:pPr>
              <w:pStyle w:val="TableText"/>
            </w:pPr>
            <w:r/>
            <w:r>
              <w:rPr>
                <w:b w:val="0"/>
              </w:rPr>
              <w:t>&lt; 2 seconds for routine inference</w:t>
            </w:r>
          </w:p>
        </w:tc>
      </w:tr>
      <w:tr>
        <w:tc>
          <w:tcPr>
            <w:tcW w:type="dxa" w:w="2160"/>
            <w:vAlign w:val="center"/>
          </w:tcPr>
          <w:p>
            <w:pPr>
              <w:pStyle w:val="TableText"/>
            </w:pPr>
            <w:r/>
            <w:r>
              <w:rPr>
                <w:b w:val="0"/>
              </w:rPr>
              <w:t>Availability</w:t>
            </w:r>
          </w:p>
        </w:tc>
        <w:tc>
          <w:tcPr>
            <w:tcW w:type="dxa" w:w="3888"/>
            <w:vAlign w:val="center"/>
          </w:tcPr>
          <w:p>
            <w:pPr>
              <w:pStyle w:val="TableText"/>
            </w:pPr>
            <w:r/>
            <w:r>
              <w:rPr>
                <w:b w:val="0"/>
              </w:rPr>
              <w:t>System uptime</w:t>
            </w:r>
          </w:p>
        </w:tc>
        <w:tc>
          <w:tcPr>
            <w:tcW w:type="dxa" w:w="3600"/>
            <w:vAlign w:val="center"/>
          </w:tcPr>
          <w:p>
            <w:pPr>
              <w:pStyle w:val="TableText"/>
            </w:pPr>
            <w:r/>
            <w:r>
              <w:rPr>
                <w:b w:val="0"/>
              </w:rPr>
              <w:t>≥ 99% during pilot operating hours</w:t>
            </w:r>
          </w:p>
        </w:tc>
      </w:tr>
      <w:tr>
        <w:tc>
          <w:tcPr>
            <w:tcW w:type="dxa" w:w="2160"/>
            <w:vAlign w:val="center"/>
          </w:tcPr>
          <w:p>
            <w:pPr>
              <w:pStyle w:val="TableText"/>
            </w:pPr>
            <w:r/>
            <w:r>
              <w:rPr>
                <w:b w:val="0"/>
              </w:rPr>
              <w:t>Usability</w:t>
            </w:r>
          </w:p>
        </w:tc>
        <w:tc>
          <w:tcPr>
            <w:tcW w:type="dxa" w:w="3888"/>
            <w:vAlign w:val="center"/>
          </w:tcPr>
          <w:p>
            <w:pPr>
              <w:pStyle w:val="TableText"/>
            </w:pPr>
            <w:r/>
            <w:r>
              <w:rPr>
                <w:b w:val="0"/>
              </w:rPr>
              <w:t>Clinician usability rating</w:t>
            </w:r>
          </w:p>
        </w:tc>
        <w:tc>
          <w:tcPr>
            <w:tcW w:type="dxa" w:w="3600"/>
            <w:vAlign w:val="center"/>
          </w:tcPr>
          <w:p>
            <w:pPr>
              <w:pStyle w:val="TableText"/>
            </w:pPr>
            <w:r/>
            <w:r>
              <w:rPr>
                <w:b w:val="0"/>
              </w:rPr>
              <w:t>≥ 4/5 average after training and pilot</w:t>
            </w:r>
          </w:p>
        </w:tc>
      </w:tr>
      <w:tr>
        <w:tc>
          <w:tcPr>
            <w:tcW w:type="dxa" w:w="2160"/>
            <w:vAlign w:val="center"/>
          </w:tcPr>
          <w:p>
            <w:pPr>
              <w:pStyle w:val="TableText"/>
            </w:pPr>
            <w:r/>
            <w:r>
              <w:rPr>
                <w:b w:val="0"/>
              </w:rPr>
              <w:t>Governance</w:t>
            </w:r>
          </w:p>
        </w:tc>
        <w:tc>
          <w:tcPr>
            <w:tcW w:type="dxa" w:w="3888"/>
            <w:vAlign w:val="center"/>
          </w:tcPr>
          <w:p>
            <w:pPr>
              <w:pStyle w:val="TableText"/>
            </w:pPr>
            <w:r/>
            <w:r>
              <w:rPr>
                <w:b w:val="0"/>
              </w:rPr>
              <w:t>Audit-log completeness</w:t>
            </w:r>
          </w:p>
        </w:tc>
        <w:tc>
          <w:tcPr>
            <w:tcW w:type="dxa" w:w="3600"/>
            <w:vAlign w:val="center"/>
          </w:tcPr>
          <w:p>
            <w:pPr>
              <w:pStyle w:val="TableText"/>
            </w:pPr>
            <w:r/>
            <w:r>
              <w:rPr>
                <w:b w:val="0"/>
              </w:rPr>
              <w:t>100% of production predictions logged</w:t>
            </w:r>
          </w:p>
        </w:tc>
      </w:tr>
    </w:tbl>
    <w:p/>
    <w:p>
      <w:pPr>
        <w:pStyle w:val="Heading1"/>
      </w:pPr>
      <w:r>
        <w:t>4. Technical Requirements and Proposed Architecture</w:t>
      </w:r>
    </w:p>
    <w:p>
      <w:pPr>
        <w:spacing w:after="160"/>
      </w:pPr>
      <w:r>
        <w:t>The technical design should use a modular architecture so that the AI model is not tightly coupled to the hospital’s core systems. The proposed workflow begins with authorised data capture from the electronic health record or relevant diagnostic system. A validation layer checks data type, range, completeness, and whether the case falls inside the model’s validated population. A preprocessing service then applies the exact transformations used during model validation. The model service generates the risk estimate, and an explanation service presents relevant contributing features or interpretable summaries. A clinical application layer displays the result to authorised users. Logging and monitoring services record model version, input metadata, output, user action, latency, and system status without exposing unnecessary patient information.</w:t>
        <w:br/>
        <w:br/>
        <w:t>For a pilot, a secure hospital-controlled server or approved private cloud environment can host the application. Compute requirements depend on the selected model; a CPU-based inference service may be sufficient for a structured-data model, while heavier models may require GPU resources. Storage must be encrypted and access-controlled. Backups should be automated and periodically tested. The network design should separate application services from public internet access wherever practical, using secure authentication, role-based access control, encryption in transit, firewalls, and monitoring.</w:t>
        <w:br/>
        <w:br/>
        <w:t>Interoperability should be planned from the beginning. Where supported by the institution, standards such as HL7/FHIR can be considered for exchanging clinical data, while local interfaces may be used during the pilot. The architecture should also include a fail-safe mode: if the AI service is unavailable, clinicians must be able to continue the normal diagnostic workflow without waiting for the model. No AI result should block urgent clinical care.</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D9EAF7"/>
          </w:tcPr>
          <w:p>
            <w:pPr>
              <w:pStyle w:val="TableText"/>
            </w:pPr>
            <w:r/>
            <w:r>
              <w:rPr>
                <w:b/>
              </w:rPr>
              <w:t>Layer</w:t>
            </w:r>
          </w:p>
        </w:tc>
        <w:tc>
          <w:tcPr>
            <w:tcW w:type="dxa" w:w="3312"/>
            <w:vAlign w:val="center"/>
            <w:shd w:fill="D9EAF7"/>
          </w:tcPr>
          <w:p>
            <w:pPr>
              <w:pStyle w:val="TableText"/>
            </w:pPr>
            <w:r/>
            <w:r>
              <w:rPr>
                <w:b/>
              </w:rPr>
              <w:t>Main Component</w:t>
            </w:r>
          </w:p>
        </w:tc>
        <w:tc>
          <w:tcPr>
            <w:tcW w:type="dxa" w:w="4320"/>
            <w:vAlign w:val="center"/>
            <w:shd w:fill="D9EAF7"/>
          </w:tcPr>
          <w:p>
            <w:pPr>
              <w:pStyle w:val="TableText"/>
            </w:pPr>
            <w:r/>
            <w:r>
              <w:rPr>
                <w:b/>
              </w:rPr>
              <w:t>Purpose</w:t>
            </w:r>
          </w:p>
        </w:tc>
      </w:tr>
      <w:tr>
        <w:tc>
          <w:tcPr>
            <w:tcW w:type="dxa" w:w="1584"/>
            <w:vAlign w:val="center"/>
          </w:tcPr>
          <w:p>
            <w:pPr>
              <w:pStyle w:val="TableText"/>
            </w:pPr>
            <w:r/>
            <w:r>
              <w:rPr>
                <w:b w:val="0"/>
              </w:rPr>
              <w:t>Data</w:t>
            </w:r>
          </w:p>
        </w:tc>
        <w:tc>
          <w:tcPr>
            <w:tcW w:type="dxa" w:w="3312"/>
            <w:vAlign w:val="center"/>
          </w:tcPr>
          <w:p>
            <w:pPr>
              <w:pStyle w:val="TableText"/>
            </w:pPr>
            <w:r/>
            <w:r>
              <w:rPr>
                <w:b w:val="0"/>
              </w:rPr>
              <w:t>EHR / diagnostic data source</w:t>
            </w:r>
          </w:p>
        </w:tc>
        <w:tc>
          <w:tcPr>
            <w:tcW w:type="dxa" w:w="4320"/>
            <w:vAlign w:val="center"/>
          </w:tcPr>
          <w:p>
            <w:pPr>
              <w:pStyle w:val="TableText"/>
            </w:pPr>
            <w:r/>
            <w:r>
              <w:rPr>
                <w:b w:val="0"/>
              </w:rPr>
              <w:t>Authorised retrieval of required inputs</w:t>
            </w:r>
          </w:p>
        </w:tc>
      </w:tr>
      <w:tr>
        <w:tc>
          <w:tcPr>
            <w:tcW w:type="dxa" w:w="1584"/>
            <w:vAlign w:val="center"/>
          </w:tcPr>
          <w:p>
            <w:pPr>
              <w:pStyle w:val="TableText"/>
            </w:pPr>
            <w:r/>
            <w:r>
              <w:rPr>
                <w:b w:val="0"/>
              </w:rPr>
              <w:t>Validation</w:t>
            </w:r>
          </w:p>
        </w:tc>
        <w:tc>
          <w:tcPr>
            <w:tcW w:type="dxa" w:w="3312"/>
            <w:vAlign w:val="center"/>
          </w:tcPr>
          <w:p>
            <w:pPr>
              <w:pStyle w:val="TableText"/>
            </w:pPr>
            <w:r/>
            <w:r>
              <w:rPr>
                <w:b w:val="0"/>
              </w:rPr>
              <w:t>Input &amp; eligibility checks</w:t>
            </w:r>
          </w:p>
        </w:tc>
        <w:tc>
          <w:tcPr>
            <w:tcW w:type="dxa" w:w="4320"/>
            <w:vAlign w:val="center"/>
          </w:tcPr>
          <w:p>
            <w:pPr>
              <w:pStyle w:val="TableText"/>
            </w:pPr>
            <w:r/>
            <w:r>
              <w:rPr>
                <w:b w:val="0"/>
              </w:rPr>
              <w:t>Detect missing, invalid, or out-of-scope cases</w:t>
            </w:r>
          </w:p>
        </w:tc>
      </w:tr>
      <w:tr>
        <w:tc>
          <w:tcPr>
            <w:tcW w:type="dxa" w:w="1584"/>
            <w:vAlign w:val="center"/>
          </w:tcPr>
          <w:p>
            <w:pPr>
              <w:pStyle w:val="TableText"/>
            </w:pPr>
            <w:r/>
            <w:r>
              <w:rPr>
                <w:b w:val="0"/>
              </w:rPr>
              <w:t>AI</w:t>
            </w:r>
          </w:p>
        </w:tc>
        <w:tc>
          <w:tcPr>
            <w:tcW w:type="dxa" w:w="3312"/>
            <w:vAlign w:val="center"/>
          </w:tcPr>
          <w:p>
            <w:pPr>
              <w:pStyle w:val="TableText"/>
            </w:pPr>
            <w:r/>
            <w:r>
              <w:rPr>
                <w:b w:val="0"/>
              </w:rPr>
              <w:t>Validated ML model</w:t>
            </w:r>
          </w:p>
        </w:tc>
        <w:tc>
          <w:tcPr>
            <w:tcW w:type="dxa" w:w="4320"/>
            <w:vAlign w:val="center"/>
          </w:tcPr>
          <w:p>
            <w:pPr>
              <w:pStyle w:val="TableText"/>
            </w:pPr>
            <w:r/>
            <w:r>
              <w:rPr>
                <w:b w:val="0"/>
              </w:rPr>
              <w:t>Generate risk/decision-support output</w:t>
            </w:r>
          </w:p>
        </w:tc>
      </w:tr>
      <w:tr>
        <w:tc>
          <w:tcPr>
            <w:tcW w:type="dxa" w:w="1584"/>
            <w:vAlign w:val="center"/>
          </w:tcPr>
          <w:p>
            <w:pPr>
              <w:pStyle w:val="TableText"/>
            </w:pPr>
            <w:r/>
            <w:r>
              <w:rPr>
                <w:b w:val="0"/>
              </w:rPr>
              <w:t>Explainability</w:t>
            </w:r>
          </w:p>
        </w:tc>
        <w:tc>
          <w:tcPr>
            <w:tcW w:type="dxa" w:w="3312"/>
            <w:vAlign w:val="center"/>
          </w:tcPr>
          <w:p>
            <w:pPr>
              <w:pStyle w:val="TableText"/>
            </w:pPr>
            <w:r/>
            <w:r>
              <w:rPr>
                <w:b w:val="0"/>
              </w:rPr>
              <w:t>Feature contribution / explanation</w:t>
            </w:r>
          </w:p>
        </w:tc>
        <w:tc>
          <w:tcPr>
            <w:tcW w:type="dxa" w:w="4320"/>
            <w:vAlign w:val="center"/>
          </w:tcPr>
          <w:p>
            <w:pPr>
              <w:pStyle w:val="TableText"/>
            </w:pPr>
            <w:r/>
            <w:r>
              <w:rPr>
                <w:b w:val="0"/>
              </w:rPr>
              <w:t>Support clinician interpretation</w:t>
            </w:r>
          </w:p>
        </w:tc>
      </w:tr>
      <w:tr>
        <w:tc>
          <w:tcPr>
            <w:tcW w:type="dxa" w:w="1584"/>
            <w:vAlign w:val="center"/>
          </w:tcPr>
          <w:p>
            <w:pPr>
              <w:pStyle w:val="TableText"/>
            </w:pPr>
            <w:r/>
            <w:r>
              <w:rPr>
                <w:b w:val="0"/>
              </w:rPr>
              <w:t>Application</w:t>
            </w:r>
          </w:p>
        </w:tc>
        <w:tc>
          <w:tcPr>
            <w:tcW w:type="dxa" w:w="3312"/>
            <w:vAlign w:val="center"/>
          </w:tcPr>
          <w:p>
            <w:pPr>
              <w:pStyle w:val="TableText"/>
            </w:pPr>
            <w:r/>
            <w:r>
              <w:rPr>
                <w:b w:val="0"/>
              </w:rPr>
              <w:t>Clinical dashboard</w:t>
            </w:r>
          </w:p>
        </w:tc>
        <w:tc>
          <w:tcPr>
            <w:tcW w:type="dxa" w:w="4320"/>
            <w:vAlign w:val="center"/>
          </w:tcPr>
          <w:p>
            <w:pPr>
              <w:pStyle w:val="TableText"/>
            </w:pPr>
            <w:r/>
            <w:r>
              <w:rPr>
                <w:b w:val="0"/>
              </w:rPr>
              <w:t>Display result, confidence, warnings and override</w:t>
            </w:r>
          </w:p>
        </w:tc>
      </w:tr>
      <w:tr>
        <w:tc>
          <w:tcPr>
            <w:tcW w:type="dxa" w:w="1584"/>
            <w:vAlign w:val="center"/>
          </w:tcPr>
          <w:p>
            <w:pPr>
              <w:pStyle w:val="TableText"/>
            </w:pPr>
            <w:r/>
            <w:r>
              <w:rPr>
                <w:b w:val="0"/>
              </w:rPr>
              <w:t>Integration</w:t>
            </w:r>
          </w:p>
        </w:tc>
        <w:tc>
          <w:tcPr>
            <w:tcW w:type="dxa" w:w="3312"/>
            <w:vAlign w:val="center"/>
          </w:tcPr>
          <w:p>
            <w:pPr>
              <w:pStyle w:val="TableText"/>
            </w:pPr>
            <w:r/>
            <w:r>
              <w:rPr>
                <w:b w:val="0"/>
              </w:rPr>
              <w:t>API / HL7/FHIR interface</w:t>
            </w:r>
          </w:p>
        </w:tc>
        <w:tc>
          <w:tcPr>
            <w:tcW w:type="dxa" w:w="4320"/>
            <w:vAlign w:val="center"/>
          </w:tcPr>
          <w:p>
            <w:pPr>
              <w:pStyle w:val="TableText"/>
            </w:pPr>
            <w:r/>
            <w:r>
              <w:rPr>
                <w:b w:val="0"/>
              </w:rPr>
              <w:t>Connect with existing workflow</w:t>
            </w:r>
          </w:p>
        </w:tc>
      </w:tr>
      <w:tr>
        <w:tc>
          <w:tcPr>
            <w:tcW w:type="dxa" w:w="1584"/>
            <w:vAlign w:val="center"/>
          </w:tcPr>
          <w:p>
            <w:pPr>
              <w:pStyle w:val="TableText"/>
            </w:pPr>
            <w:r/>
            <w:r>
              <w:rPr>
                <w:b w:val="0"/>
              </w:rPr>
              <w:t>Security</w:t>
            </w:r>
          </w:p>
        </w:tc>
        <w:tc>
          <w:tcPr>
            <w:tcW w:type="dxa" w:w="3312"/>
            <w:vAlign w:val="center"/>
          </w:tcPr>
          <w:p>
            <w:pPr>
              <w:pStyle w:val="TableText"/>
            </w:pPr>
            <w:r/>
            <w:r>
              <w:rPr>
                <w:b w:val="0"/>
              </w:rPr>
              <w:t>IAM, encryption, audit logs</w:t>
            </w:r>
          </w:p>
        </w:tc>
        <w:tc>
          <w:tcPr>
            <w:tcW w:type="dxa" w:w="4320"/>
            <w:vAlign w:val="center"/>
          </w:tcPr>
          <w:p>
            <w:pPr>
              <w:pStyle w:val="TableText"/>
            </w:pPr>
            <w:r/>
            <w:r>
              <w:rPr>
                <w:b w:val="0"/>
              </w:rPr>
              <w:t>Protect data and accountability</w:t>
            </w:r>
          </w:p>
        </w:tc>
      </w:tr>
      <w:tr>
        <w:tc>
          <w:tcPr>
            <w:tcW w:type="dxa" w:w="1584"/>
            <w:vAlign w:val="center"/>
          </w:tcPr>
          <w:p>
            <w:pPr>
              <w:pStyle w:val="TableText"/>
            </w:pPr>
            <w:r/>
            <w:r>
              <w:rPr>
                <w:b w:val="0"/>
              </w:rPr>
              <w:t>Monitoring</w:t>
            </w:r>
          </w:p>
        </w:tc>
        <w:tc>
          <w:tcPr>
            <w:tcW w:type="dxa" w:w="3312"/>
            <w:vAlign w:val="center"/>
          </w:tcPr>
          <w:p>
            <w:pPr>
              <w:pStyle w:val="TableText"/>
            </w:pPr>
            <w:r/>
            <w:r>
              <w:rPr>
                <w:b w:val="0"/>
              </w:rPr>
              <w:t>Performance &amp; drift service</w:t>
            </w:r>
          </w:p>
        </w:tc>
        <w:tc>
          <w:tcPr>
            <w:tcW w:type="dxa" w:w="4320"/>
            <w:vAlign w:val="center"/>
          </w:tcPr>
          <w:p>
            <w:pPr>
              <w:pStyle w:val="TableText"/>
            </w:pPr>
            <w:r/>
            <w:r>
              <w:rPr>
                <w:b w:val="0"/>
              </w:rPr>
              <w:t>Track model and operational health</w:t>
            </w:r>
          </w:p>
        </w:tc>
      </w:tr>
    </w:tbl>
    <w:p/>
    <w:p>
      <w:pPr>
        <w:pStyle w:val="Heading1"/>
      </w:pPr>
      <w:r>
        <w:t>5. Step-by-Step Implementation Plan and Milestones</w:t>
      </w:r>
    </w:p>
    <w:p>
      <w:pPr>
        <w:spacing w:after="160"/>
      </w:pPr>
      <w:r>
        <w:t>Implementation should proceed in controlled phases rather than moving directly from a prototype to clinical use. Phase 1 establishes governance, defines the intended use, identifies stakeholders, documents the target population, and creates the risk-management plan. Phase 2 prepares the data: access permissions are obtained, data dictionaries are created, missingness and quality are assessed, and the dataset is separated appropriately to prevent leakage. Phase 3 covers model development and local validation, including comparison with a baseline model, subgroup analysis, calibration assessment, and error review.</w:t>
        <w:br/>
        <w:br/>
        <w:t>Phase 4 converts the validated prototype into a secure software service. The user interface, authentication, audit logging, monitoring, and integration interfaces are implemented. Phase 5 is a silent-mode deployment: the model processes real workflow cases but clinicians do not see the predictions. This stage is essential for discovering unexpected data-format issues, latency problems, population differences, and workflow friction without exposing patients to unvalidated recommendations. Phase 6 is a limited clinical pilot in which authorised clinicians can see the AI output alongside a clear disclaimer, explanation, and override mechanism.</w:t>
        <w:br/>
        <w:br/>
        <w:t>Each phase must have an entry criterion, deliverables, owner, and exit criterion. If a safety or performance gate fails, the project should return to the appropriate earlier phase rather than proceeding because of schedule pressure. After pilot completion, the project team should conduct a formal evaluation covering clinical, technical, operational, financial, and user outcomes. Scale-up should occur only after the steering group approves the evidence and confirms that monitoring, incident response, retraining, and maintenance responsibilities are funded and assigned.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center"/>
            <w:shd w:fill="D9EAF7"/>
          </w:tcPr>
          <w:p>
            <w:pPr>
              <w:pStyle w:val="TableText"/>
            </w:pPr>
            <w:r/>
            <w:r>
              <w:rPr>
                <w:b/>
              </w:rPr>
              <w:t>Phase</w:t>
            </w:r>
          </w:p>
        </w:tc>
        <w:tc>
          <w:tcPr>
            <w:tcW w:type="dxa" w:w="1296"/>
            <w:vAlign w:val="center"/>
            <w:shd w:fill="D9EAF7"/>
          </w:tcPr>
          <w:p>
            <w:pPr>
              <w:pStyle w:val="TableText"/>
            </w:pPr>
            <w:r/>
            <w:r>
              <w:rPr>
                <w:b/>
              </w:rPr>
              <w:t>Months</w:t>
            </w:r>
          </w:p>
        </w:tc>
        <w:tc>
          <w:tcPr>
            <w:tcW w:type="dxa" w:w="4464"/>
            <w:vAlign w:val="center"/>
            <w:shd w:fill="D9EAF7"/>
          </w:tcPr>
          <w:p>
            <w:pPr>
              <w:pStyle w:val="TableText"/>
            </w:pPr>
            <w:r/>
            <w:r>
              <w:rPr>
                <w:b/>
              </w:rPr>
              <w:t>Major Deliverable</w:t>
            </w:r>
          </w:p>
        </w:tc>
        <w:tc>
          <w:tcPr>
            <w:tcW w:type="dxa" w:w="2880"/>
            <w:vAlign w:val="center"/>
            <w:shd w:fill="D9EAF7"/>
          </w:tcPr>
          <w:p>
            <w:pPr>
              <w:pStyle w:val="TableText"/>
            </w:pPr>
            <w:r/>
            <w:r>
              <w:rPr>
                <w:b/>
              </w:rPr>
              <w:t>Go/No-Go Gate</w:t>
            </w:r>
          </w:p>
        </w:tc>
      </w:tr>
      <w:tr>
        <w:tc>
          <w:tcPr>
            <w:tcW w:type="dxa" w:w="2160"/>
            <w:vAlign w:val="center"/>
          </w:tcPr>
          <w:p>
            <w:pPr>
              <w:pStyle w:val="TableText"/>
            </w:pPr>
            <w:r/>
            <w:r>
              <w:rPr>
                <w:b w:val="0"/>
              </w:rPr>
              <w:t>1. Governance &amp; discovery</w:t>
            </w:r>
          </w:p>
        </w:tc>
        <w:tc>
          <w:tcPr>
            <w:tcW w:type="dxa" w:w="1296"/>
            <w:vAlign w:val="center"/>
          </w:tcPr>
          <w:p>
            <w:pPr>
              <w:pStyle w:val="TableText"/>
            </w:pPr>
            <w:r/>
            <w:r>
              <w:rPr>
                <w:b w:val="0"/>
              </w:rPr>
              <w:t>1–2</w:t>
            </w:r>
          </w:p>
        </w:tc>
        <w:tc>
          <w:tcPr>
            <w:tcW w:type="dxa" w:w="4464"/>
            <w:vAlign w:val="center"/>
          </w:tcPr>
          <w:p>
            <w:pPr>
              <w:pStyle w:val="TableText"/>
            </w:pPr>
            <w:r/>
            <w:r>
              <w:rPr>
                <w:b w:val="0"/>
              </w:rPr>
              <w:t>Use case, stakeholders, risk plan</w:t>
            </w:r>
          </w:p>
        </w:tc>
        <w:tc>
          <w:tcPr>
            <w:tcW w:type="dxa" w:w="2880"/>
            <w:vAlign w:val="center"/>
          </w:tcPr>
          <w:p>
            <w:pPr>
              <w:pStyle w:val="TableText"/>
            </w:pPr>
            <w:r/>
            <w:r>
              <w:rPr>
                <w:b w:val="0"/>
              </w:rPr>
              <w:t>Governance approval</w:t>
            </w:r>
          </w:p>
        </w:tc>
      </w:tr>
      <w:tr>
        <w:tc>
          <w:tcPr>
            <w:tcW w:type="dxa" w:w="2160"/>
            <w:vAlign w:val="center"/>
          </w:tcPr>
          <w:p>
            <w:pPr>
              <w:pStyle w:val="TableText"/>
            </w:pPr>
            <w:r/>
            <w:r>
              <w:rPr>
                <w:b w:val="0"/>
              </w:rPr>
              <w:t>2. Data preparation</w:t>
            </w:r>
          </w:p>
        </w:tc>
        <w:tc>
          <w:tcPr>
            <w:tcW w:type="dxa" w:w="1296"/>
            <w:vAlign w:val="center"/>
          </w:tcPr>
          <w:p>
            <w:pPr>
              <w:pStyle w:val="TableText"/>
            </w:pPr>
            <w:r/>
            <w:r>
              <w:rPr>
                <w:b w:val="0"/>
              </w:rPr>
              <w:t>2–4</w:t>
            </w:r>
          </w:p>
        </w:tc>
        <w:tc>
          <w:tcPr>
            <w:tcW w:type="dxa" w:w="4464"/>
            <w:vAlign w:val="center"/>
          </w:tcPr>
          <w:p>
            <w:pPr>
              <w:pStyle w:val="TableText"/>
            </w:pPr>
            <w:r/>
            <w:r>
              <w:rPr>
                <w:b w:val="0"/>
              </w:rPr>
              <w:t>Validated dataset &amp; data dictionary</w:t>
            </w:r>
          </w:p>
        </w:tc>
        <w:tc>
          <w:tcPr>
            <w:tcW w:type="dxa" w:w="2880"/>
            <w:vAlign w:val="center"/>
          </w:tcPr>
          <w:p>
            <w:pPr>
              <w:pStyle w:val="TableText"/>
            </w:pPr>
            <w:r/>
            <w:r>
              <w:rPr>
                <w:b w:val="0"/>
              </w:rPr>
              <w:t>Data quality gate</w:t>
            </w:r>
          </w:p>
        </w:tc>
      </w:tr>
      <w:tr>
        <w:tc>
          <w:tcPr>
            <w:tcW w:type="dxa" w:w="2160"/>
            <w:vAlign w:val="center"/>
          </w:tcPr>
          <w:p>
            <w:pPr>
              <w:pStyle w:val="TableText"/>
            </w:pPr>
            <w:r/>
            <w:r>
              <w:rPr>
                <w:b w:val="0"/>
              </w:rPr>
              <w:t>3. Model validation</w:t>
            </w:r>
          </w:p>
        </w:tc>
        <w:tc>
          <w:tcPr>
            <w:tcW w:type="dxa" w:w="1296"/>
            <w:vAlign w:val="center"/>
          </w:tcPr>
          <w:p>
            <w:pPr>
              <w:pStyle w:val="TableText"/>
            </w:pPr>
            <w:r/>
            <w:r>
              <w:rPr>
                <w:b w:val="0"/>
              </w:rPr>
              <w:t>3–5</w:t>
            </w:r>
          </w:p>
        </w:tc>
        <w:tc>
          <w:tcPr>
            <w:tcW w:type="dxa" w:w="4464"/>
            <w:vAlign w:val="center"/>
          </w:tcPr>
          <w:p>
            <w:pPr>
              <w:pStyle w:val="TableText"/>
            </w:pPr>
            <w:r/>
            <w:r>
              <w:rPr>
                <w:b w:val="0"/>
              </w:rPr>
              <w:t>Local validation report</w:t>
            </w:r>
          </w:p>
        </w:tc>
        <w:tc>
          <w:tcPr>
            <w:tcW w:type="dxa" w:w="2880"/>
            <w:vAlign w:val="center"/>
          </w:tcPr>
          <w:p>
            <w:pPr>
              <w:pStyle w:val="TableText"/>
            </w:pPr>
            <w:r/>
            <w:r>
              <w:rPr>
                <w:b w:val="0"/>
              </w:rPr>
              <w:t>Performance/safety gate</w:t>
            </w:r>
          </w:p>
        </w:tc>
      </w:tr>
      <w:tr>
        <w:tc>
          <w:tcPr>
            <w:tcW w:type="dxa" w:w="2160"/>
            <w:vAlign w:val="center"/>
          </w:tcPr>
          <w:p>
            <w:pPr>
              <w:pStyle w:val="TableText"/>
            </w:pPr>
            <w:r/>
            <w:r>
              <w:rPr>
                <w:b w:val="0"/>
              </w:rPr>
              <w:t>4. Product &amp; integration</w:t>
            </w:r>
          </w:p>
        </w:tc>
        <w:tc>
          <w:tcPr>
            <w:tcW w:type="dxa" w:w="1296"/>
            <w:vAlign w:val="center"/>
          </w:tcPr>
          <w:p>
            <w:pPr>
              <w:pStyle w:val="TableText"/>
            </w:pPr>
            <w:r/>
            <w:r>
              <w:rPr>
                <w:b w:val="0"/>
              </w:rPr>
              <w:t>4–7</w:t>
            </w:r>
          </w:p>
        </w:tc>
        <w:tc>
          <w:tcPr>
            <w:tcW w:type="dxa" w:w="4464"/>
            <w:vAlign w:val="center"/>
          </w:tcPr>
          <w:p>
            <w:pPr>
              <w:pStyle w:val="TableText"/>
            </w:pPr>
            <w:r/>
            <w:r>
              <w:rPr>
                <w:b w:val="0"/>
              </w:rPr>
              <w:t>Secure pilot-ready system</w:t>
            </w:r>
          </w:p>
        </w:tc>
        <w:tc>
          <w:tcPr>
            <w:tcW w:type="dxa" w:w="2880"/>
            <w:vAlign w:val="center"/>
          </w:tcPr>
          <w:p>
            <w:pPr>
              <w:pStyle w:val="TableText"/>
            </w:pPr>
            <w:r/>
            <w:r>
              <w:rPr>
                <w:b w:val="0"/>
              </w:rPr>
              <w:t>Security/UAT gate</w:t>
            </w:r>
          </w:p>
        </w:tc>
      </w:tr>
      <w:tr>
        <w:tc>
          <w:tcPr>
            <w:tcW w:type="dxa" w:w="2160"/>
            <w:vAlign w:val="center"/>
          </w:tcPr>
          <w:p>
            <w:pPr>
              <w:pStyle w:val="TableText"/>
            </w:pPr>
            <w:r/>
            <w:r>
              <w:rPr>
                <w:b w:val="0"/>
              </w:rPr>
              <w:t>5. Silent-mode pilot</w:t>
            </w:r>
          </w:p>
        </w:tc>
        <w:tc>
          <w:tcPr>
            <w:tcW w:type="dxa" w:w="1296"/>
            <w:vAlign w:val="center"/>
          </w:tcPr>
          <w:p>
            <w:pPr>
              <w:pStyle w:val="TableText"/>
            </w:pPr>
            <w:r/>
            <w:r>
              <w:rPr>
                <w:b w:val="0"/>
              </w:rPr>
              <w:t>7–8</w:t>
            </w:r>
          </w:p>
        </w:tc>
        <w:tc>
          <w:tcPr>
            <w:tcW w:type="dxa" w:w="4464"/>
            <w:vAlign w:val="center"/>
          </w:tcPr>
          <w:p>
            <w:pPr>
              <w:pStyle w:val="TableText"/>
            </w:pPr>
            <w:r/>
            <w:r>
              <w:rPr>
                <w:b w:val="0"/>
              </w:rPr>
              <w:t>Workflow and reliability evidence</w:t>
            </w:r>
          </w:p>
        </w:tc>
        <w:tc>
          <w:tcPr>
            <w:tcW w:type="dxa" w:w="2880"/>
            <w:vAlign w:val="center"/>
          </w:tcPr>
          <w:p>
            <w:pPr>
              <w:pStyle w:val="TableText"/>
            </w:pPr>
            <w:r/>
            <w:r>
              <w:rPr>
                <w:b w:val="0"/>
              </w:rPr>
              <w:t>Operational gate</w:t>
            </w:r>
          </w:p>
        </w:tc>
      </w:tr>
      <w:tr>
        <w:tc>
          <w:tcPr>
            <w:tcW w:type="dxa" w:w="2160"/>
            <w:vAlign w:val="center"/>
          </w:tcPr>
          <w:p>
            <w:pPr>
              <w:pStyle w:val="TableText"/>
            </w:pPr>
            <w:r/>
            <w:r>
              <w:rPr>
                <w:b w:val="0"/>
              </w:rPr>
              <w:t>6. Controlled clinical pilot</w:t>
            </w:r>
          </w:p>
        </w:tc>
        <w:tc>
          <w:tcPr>
            <w:tcW w:type="dxa" w:w="1296"/>
            <w:vAlign w:val="center"/>
          </w:tcPr>
          <w:p>
            <w:pPr>
              <w:pStyle w:val="TableText"/>
            </w:pPr>
            <w:r/>
            <w:r>
              <w:rPr>
                <w:b w:val="0"/>
              </w:rPr>
              <w:t>9–10</w:t>
            </w:r>
          </w:p>
        </w:tc>
        <w:tc>
          <w:tcPr>
            <w:tcW w:type="dxa" w:w="4464"/>
            <w:vAlign w:val="center"/>
          </w:tcPr>
          <w:p>
            <w:pPr>
              <w:pStyle w:val="TableText"/>
            </w:pPr>
            <w:r/>
            <w:r>
              <w:rPr>
                <w:b w:val="0"/>
              </w:rPr>
              <w:t>Pilot evaluation report</w:t>
            </w:r>
          </w:p>
        </w:tc>
        <w:tc>
          <w:tcPr>
            <w:tcW w:type="dxa" w:w="2880"/>
            <w:vAlign w:val="center"/>
          </w:tcPr>
          <w:p>
            <w:pPr>
              <w:pStyle w:val="TableText"/>
            </w:pPr>
            <w:r/>
            <w:r>
              <w:rPr>
                <w:b w:val="0"/>
              </w:rPr>
              <w:t>Clinical safety gate</w:t>
            </w:r>
          </w:p>
        </w:tc>
      </w:tr>
      <w:tr>
        <w:tc>
          <w:tcPr>
            <w:tcW w:type="dxa" w:w="2160"/>
            <w:vAlign w:val="center"/>
          </w:tcPr>
          <w:p>
            <w:pPr>
              <w:pStyle w:val="TableText"/>
            </w:pPr>
            <w:r/>
            <w:r>
              <w:rPr>
                <w:b w:val="0"/>
              </w:rPr>
              <w:t>7. Review &amp; scale decision</w:t>
            </w:r>
          </w:p>
        </w:tc>
        <w:tc>
          <w:tcPr>
            <w:tcW w:type="dxa" w:w="1296"/>
            <w:vAlign w:val="center"/>
          </w:tcPr>
          <w:p>
            <w:pPr>
              <w:pStyle w:val="TableText"/>
            </w:pPr>
            <w:r/>
            <w:r>
              <w:rPr>
                <w:b w:val="0"/>
              </w:rPr>
              <w:t>11</w:t>
            </w:r>
          </w:p>
        </w:tc>
        <w:tc>
          <w:tcPr>
            <w:tcW w:type="dxa" w:w="4464"/>
            <w:vAlign w:val="center"/>
          </w:tcPr>
          <w:p>
            <w:pPr>
              <w:pStyle w:val="TableText"/>
            </w:pPr>
            <w:r/>
            <w:r>
              <w:rPr>
                <w:b w:val="0"/>
              </w:rPr>
              <w:t>Go-live/scale recommendation</w:t>
            </w:r>
          </w:p>
        </w:tc>
        <w:tc>
          <w:tcPr>
            <w:tcW w:type="dxa" w:w="2880"/>
            <w:vAlign w:val="center"/>
          </w:tcPr>
          <w:p>
            <w:pPr>
              <w:pStyle w:val="TableText"/>
            </w:pPr>
            <w:r/>
            <w:r>
              <w:rPr>
                <w:b w:val="0"/>
              </w:rPr>
              <w:t>Steering approval</w:t>
            </w:r>
          </w:p>
        </w:tc>
      </w:tr>
      <w:tr>
        <w:tc>
          <w:tcPr>
            <w:tcW w:type="dxa" w:w="2160"/>
            <w:vAlign w:val="center"/>
          </w:tcPr>
          <w:p>
            <w:pPr>
              <w:pStyle w:val="TableText"/>
            </w:pPr>
            <w:r/>
            <w:r>
              <w:rPr>
                <w:b w:val="0"/>
              </w:rPr>
              <w:t>8. Scale &amp; continuous monitoring</w:t>
            </w:r>
          </w:p>
        </w:tc>
        <w:tc>
          <w:tcPr>
            <w:tcW w:type="dxa" w:w="1296"/>
            <w:vAlign w:val="center"/>
          </w:tcPr>
          <w:p>
            <w:pPr>
              <w:pStyle w:val="TableText"/>
            </w:pPr>
            <w:r/>
            <w:r>
              <w:rPr>
                <w:b w:val="0"/>
              </w:rPr>
              <w:t>12+</w:t>
            </w:r>
          </w:p>
        </w:tc>
        <w:tc>
          <w:tcPr>
            <w:tcW w:type="dxa" w:w="4464"/>
            <w:vAlign w:val="center"/>
          </w:tcPr>
          <w:p>
            <w:pPr>
              <w:pStyle w:val="TableText"/>
            </w:pPr>
            <w:r/>
            <w:r>
              <w:rPr>
                <w:b w:val="0"/>
              </w:rPr>
              <w:t>Expanded deployment plan</w:t>
            </w:r>
          </w:p>
        </w:tc>
        <w:tc>
          <w:tcPr>
            <w:tcW w:type="dxa" w:w="2880"/>
            <w:vAlign w:val="center"/>
          </w:tcPr>
          <w:p>
            <w:pPr>
              <w:pStyle w:val="TableText"/>
            </w:pPr>
            <w:r/>
            <w:r>
              <w:rPr>
                <w:b w:val="0"/>
              </w:rPr>
              <w:t>Ongoing monitoring</w:t>
            </w:r>
          </w:p>
        </w:tc>
      </w:tr>
    </w:tbl>
    <w:p/>
    <w:p>
      <w:pPr>
        <w:pStyle w:val="Heading1"/>
      </w:pPr>
      <w:r>
        <w:t>6. Stakeholder Engagement, Training and Change Management</w:t>
      </w:r>
    </w:p>
    <w:p>
      <w:pPr>
        <w:spacing w:after="160"/>
      </w:pPr>
      <w:r>
        <w:t>Successful implementation depends on stakeholder participation from the beginning. Clinicians are the primary end users and should define the clinical question, acceptable workflow, explanation requirements, and escalation process. IT and software teams are responsible for infrastructure, integration, authentication, uptime, backups, and technical support. Data scientists and ML engineers are responsible for model development, validation, monitoring, and version control. Clinical governance, quality, compliance, and cybersecurity teams should review risks, privacy, safety, and incident procedures. Hospital administrators control resources, procurement, and operational priorities. Patients and patient representatives can contribute to communication materials and expectations around AI-assisted care.</w:t>
        <w:br/>
        <w:br/>
        <w:t>Training should be role-specific. Clinicians need practical instruction on what the model does, what it does not do, how to interpret the output, how to recognise an out-of-scope case, and how to override or ignore the recommendation. They should also understand that an AI score is not a diagnosis and should not be used without clinical context. IT staff need training on monitoring, access control, backup restoration, incident response, and version management. Support staff need a clear escalation pathway for technical or workflow problems.</w:t>
        <w:br/>
        <w:br/>
        <w:t>Change management should use a small champion group of clinicians and technical staff who participate in testing and communicate lessons to colleagues. Before pilot launch, short training sessions, a user guide, quick-reference instructions, and a troubleshooting pathway should be available. Feedback should be collected weekly during the early pilot. If clinicians report alert fatigue, confusing explanations, excessive clicks, or workflow delays, the interface should be improved before expansion. Adoption should therefore be treated as an iterative process, not a one-time training event.</w:t>
      </w:r>
    </w:p>
    <w:p>
      <w:pPr>
        <w:pStyle w:val="Heading1"/>
      </w:pPr>
      <w:r>
        <w:t>7. Clinical Implications, Safety and Human Oversight</w:t>
      </w:r>
    </w:p>
    <w:p>
      <w:pPr>
        <w:spacing w:after="160"/>
      </w:pPr>
      <w:r>
        <w:t>The clinical value of an AI diagnostic decision-support system depends on how its outputs influence real decisions, not simply on its benchmark accuracy. A model with good average performance can still be unsafe if it performs poorly on an important subgroup, is poorly calibrated, is used outside its validated population, or creates false reassurance. Therefore, the proposed system should be designed around human-in-the-loop decision making. The clinician should see the AI result as one piece of evidence alongside history, examination, imaging, pathology, and other relevant information.</w:t>
        <w:br/>
        <w:br/>
        <w:t>A prominent safety principle is that the system must not prevent or delay normal clinical care. If the AI service fails, the workflow should continue manually. If required input data are missing or outside the validated range, the system should display an “unable to assess” state rather than producing a potentially misleading result. High-risk or uncertain cases should be routed for additional expert review according to local policy. The interface should make the model version visible and retain an audit trail of the prediction and subsequent clinician action.</w:t>
        <w:br/>
        <w:br/>
        <w:t>Clinical implications should be evaluated using both benefits and harms. Potential benefits include more consistent risk assessment, prioritisation of cases, reduced repetitive workload, and improved access to decision support. Potential harms include false negatives, false positives, automation bias, alert fatigue, inequitable performance, and inappropriate reliance on the model. During the pilot, a multidisciplinary safety committee should review representative errors and near-miss events. The project should define stop criteria in advance—for example, unexpected safety deterioration, serious workflow disruption, or significant subgroup performance gaps. This approach makes safety an operational requirement rather than a statement added after deployment.</w:t>
      </w:r>
    </w:p>
    <w:p>
      <w:pPr>
        <w:pStyle w:val="Heading1"/>
      </w:pPr>
      <w:r>
        <w:t>8. Data Privacy, Cybersecurity, Compliance and Governance</w:t>
      </w:r>
    </w:p>
    <w:p>
      <w:pPr>
        <w:spacing w:after="160"/>
      </w:pPr>
      <w:r>
        <w:t>Healthcare AI requires stronger governance than a typical software application because the system processes sensitive health information and can influence clinical decisions. The project should therefore follow the institution’s privacy, security, clinical-governance, and regulatory requirements. Before accessing production data, the team should document the lawful and authorised basis for data use, minimum necessary data fields, retention period, user roles, and approved storage location. Personally identifiable information should be minimised wherever it is not required for the clinical workflow. Development datasets should use de-identification or appropriate controlled-access procedures consistent with institutional policy.</w:t>
        <w:br/>
        <w:br/>
        <w:t>Cybersecurity controls should include strong authentication, role-based access, least-privilege permissions, encryption in transit and at rest, secure secrets management, patching, vulnerability assessment, network segmentation where appropriate, and continuous logging. Administrative access should be restricted and reviewed periodically. Audit logs should record who accessed the system, which model version was used, when a prediction was generated, and relevant system events. Logs should avoid unnecessary exposure of patient data.</w:t>
        <w:br/>
        <w:br/>
        <w:t>Governance must also cover the model itself. Every production model should have a unique version, documented training dataset, intended population, known limitations, validation evidence, and approval status. Changes to the model or preprocessing pipeline should require documented review and revalidation. A model registry and change-control process should prevent an untested version from being silently introduced. The organisation should also define incident-response procedures for data breaches, unexpected model behaviour, system outages, and clinically significant errors. Before scale-up, the project should obtain the appropriate institutional approvals and determine whether additional regulatory or device-related obligations apply to the specific intended use.</w:t>
      </w:r>
    </w:p>
    <w:p>
      <w:pPr>
        <w:pStyle w:val="Heading1"/>
      </w:pPr>
      <w:r>
        <w:t>9. Resource Allocation and Indicative Budget</w:t>
      </w:r>
    </w:p>
    <w:p>
      <w:pPr>
        <w:spacing w:after="160"/>
      </w:pPr>
      <w:r>
        <w:t>The project requires a multidisciplinary team rather than only a data scientist. A practical pilot team can consist of a clinical lead, project manager, ML/data scientist, software or integration engineer, cybersecurity/IT representative, quality or compliance representative, and a small group of clinician users. The clinical lead ensures that the use case and evaluation reflect actual practice. The project manager controls milestones and documentation. The technical team builds and validates the system, while IT and cybersecurity staff ensure that the environment is secure and supportable.</w:t>
        <w:br/>
        <w:br/>
        <w:t>The following budget is an academic planning estimate for a small pilot and should not be treated as a quotation. Actual costs will depend heavily on whether the organisation uses existing infrastructure, open-source software, internal staff, or external vendors. Personnel time is usually the largest resource requirement. Additional costs can arise from secure hosting, integration work, testing, cybersecurity assessment, training, monitoring, and contingency. A pilot should avoid unnecessary hardware purchases until model and workflow requirements are known.</w:t>
        <w:br/>
        <w:br/>
        <w:t>A staged funding model is recommended. Initial funding should cover governance, data preparation, validation, and prototype development. A second release should be linked to successful validation and security testing. Pilot funding should then be released only after the system passes silent-mode checks. This gate-based approach reduces financial risk and prevents the organisation from committing to full-scale deployment before there is evidence of clinical and operational value. A contingency reserve should be maintained for integration changes, additional validation, security remediation, and unexpected infrastructure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600"/>
            <w:vAlign w:val="center"/>
            <w:shd w:fill="D9EAF7"/>
          </w:tcPr>
          <w:p>
            <w:pPr>
              <w:pStyle w:val="TableText"/>
            </w:pPr>
            <w:r/>
            <w:r>
              <w:rPr>
                <w:b/>
              </w:rPr>
              <w:t>Resource</w:t>
            </w:r>
          </w:p>
        </w:tc>
        <w:tc>
          <w:tcPr>
            <w:tcW w:type="dxa" w:w="2304"/>
            <w:vAlign w:val="center"/>
            <w:shd w:fill="D9EAF7"/>
          </w:tcPr>
          <w:p>
            <w:pPr>
              <w:pStyle w:val="TableText"/>
            </w:pPr>
            <w:r/>
            <w:r>
              <w:rPr>
                <w:b/>
              </w:rPr>
              <w:t>Indicative Pilot Cost (INR)</w:t>
            </w:r>
          </w:p>
        </w:tc>
        <w:tc>
          <w:tcPr>
            <w:tcW w:type="dxa" w:w="4464"/>
            <w:vAlign w:val="center"/>
            <w:shd w:fill="D9EAF7"/>
          </w:tcPr>
          <w:p>
            <w:pPr>
              <w:pStyle w:val="TableText"/>
            </w:pPr>
            <w:r/>
            <w:r>
              <w:rPr>
                <w:b/>
              </w:rPr>
              <w:t>Notes</w:t>
            </w:r>
          </w:p>
        </w:tc>
      </w:tr>
      <w:tr>
        <w:tc>
          <w:tcPr>
            <w:tcW w:type="dxa" w:w="3600"/>
            <w:vAlign w:val="center"/>
          </w:tcPr>
          <w:p>
            <w:pPr>
              <w:pStyle w:val="TableText"/>
            </w:pPr>
            <w:r/>
            <w:r>
              <w:rPr>
                <w:b w:val="0"/>
              </w:rPr>
              <w:t>Project &amp; clinical staff time</w:t>
            </w:r>
          </w:p>
        </w:tc>
        <w:tc>
          <w:tcPr>
            <w:tcW w:type="dxa" w:w="2304"/>
            <w:vAlign w:val="center"/>
          </w:tcPr>
          <w:p>
            <w:pPr>
              <w:pStyle w:val="TableText"/>
            </w:pPr>
            <w:r/>
            <w:r>
              <w:rPr>
                <w:b w:val="0"/>
              </w:rPr>
              <w:t>₹2,50,000</w:t>
            </w:r>
          </w:p>
        </w:tc>
        <w:tc>
          <w:tcPr>
            <w:tcW w:type="dxa" w:w="4464"/>
            <w:vAlign w:val="center"/>
          </w:tcPr>
          <w:p>
            <w:pPr>
              <w:pStyle w:val="TableText"/>
            </w:pPr>
            <w:r/>
            <w:r>
              <w:rPr>
                <w:b w:val="0"/>
              </w:rPr>
              <w:t>Part-time allocation across 12 months</w:t>
            </w:r>
          </w:p>
        </w:tc>
      </w:tr>
      <w:tr>
        <w:tc>
          <w:tcPr>
            <w:tcW w:type="dxa" w:w="3600"/>
            <w:vAlign w:val="center"/>
          </w:tcPr>
          <w:p>
            <w:pPr>
              <w:pStyle w:val="TableText"/>
            </w:pPr>
            <w:r/>
            <w:r>
              <w:rPr>
                <w:b w:val="0"/>
              </w:rPr>
              <w:t>ML/data engineering</w:t>
            </w:r>
          </w:p>
        </w:tc>
        <w:tc>
          <w:tcPr>
            <w:tcW w:type="dxa" w:w="2304"/>
            <w:vAlign w:val="center"/>
          </w:tcPr>
          <w:p>
            <w:pPr>
              <w:pStyle w:val="TableText"/>
            </w:pPr>
            <w:r/>
            <w:r>
              <w:rPr>
                <w:b w:val="0"/>
              </w:rPr>
              <w:t>₹2,00,000</w:t>
            </w:r>
          </w:p>
        </w:tc>
        <w:tc>
          <w:tcPr>
            <w:tcW w:type="dxa" w:w="4464"/>
            <w:vAlign w:val="center"/>
          </w:tcPr>
          <w:p>
            <w:pPr>
              <w:pStyle w:val="TableText"/>
            </w:pPr>
            <w:r/>
            <w:r>
              <w:rPr>
                <w:b w:val="0"/>
              </w:rPr>
              <w:t>Validation, monitoring and pipeline work</w:t>
            </w:r>
          </w:p>
        </w:tc>
      </w:tr>
      <w:tr>
        <w:tc>
          <w:tcPr>
            <w:tcW w:type="dxa" w:w="3600"/>
            <w:vAlign w:val="center"/>
          </w:tcPr>
          <w:p>
            <w:pPr>
              <w:pStyle w:val="TableText"/>
            </w:pPr>
            <w:r/>
            <w:r>
              <w:rPr>
                <w:b w:val="0"/>
              </w:rPr>
              <w:t>Software/integration</w:t>
            </w:r>
          </w:p>
        </w:tc>
        <w:tc>
          <w:tcPr>
            <w:tcW w:type="dxa" w:w="2304"/>
            <w:vAlign w:val="center"/>
          </w:tcPr>
          <w:p>
            <w:pPr>
              <w:pStyle w:val="TableText"/>
            </w:pPr>
            <w:r/>
            <w:r>
              <w:rPr>
                <w:b w:val="0"/>
              </w:rPr>
              <w:t>₹1,50,000</w:t>
            </w:r>
          </w:p>
        </w:tc>
        <w:tc>
          <w:tcPr>
            <w:tcW w:type="dxa" w:w="4464"/>
            <w:vAlign w:val="center"/>
          </w:tcPr>
          <w:p>
            <w:pPr>
              <w:pStyle w:val="TableText"/>
            </w:pPr>
            <w:r/>
            <w:r>
              <w:rPr>
                <w:b w:val="0"/>
              </w:rPr>
              <w:t>API, interface, testing and deployment</w:t>
            </w:r>
          </w:p>
        </w:tc>
      </w:tr>
      <w:tr>
        <w:tc>
          <w:tcPr>
            <w:tcW w:type="dxa" w:w="3600"/>
            <w:vAlign w:val="center"/>
          </w:tcPr>
          <w:p>
            <w:pPr>
              <w:pStyle w:val="TableText"/>
            </w:pPr>
            <w:r/>
            <w:r>
              <w:rPr>
                <w:b w:val="0"/>
              </w:rPr>
              <w:t>Secure hosting/infrastructure</w:t>
            </w:r>
          </w:p>
        </w:tc>
        <w:tc>
          <w:tcPr>
            <w:tcW w:type="dxa" w:w="2304"/>
            <w:vAlign w:val="center"/>
          </w:tcPr>
          <w:p>
            <w:pPr>
              <w:pStyle w:val="TableText"/>
            </w:pPr>
            <w:r/>
            <w:r>
              <w:rPr>
                <w:b w:val="0"/>
              </w:rPr>
              <w:t>₹1,00,000</w:t>
            </w:r>
          </w:p>
        </w:tc>
        <w:tc>
          <w:tcPr>
            <w:tcW w:type="dxa" w:w="4464"/>
            <w:vAlign w:val="center"/>
          </w:tcPr>
          <w:p>
            <w:pPr>
              <w:pStyle w:val="TableText"/>
            </w:pPr>
            <w:r/>
            <w:r>
              <w:rPr>
                <w:b w:val="0"/>
              </w:rPr>
              <w:t>Pilot environment; depends on existing resources</w:t>
            </w:r>
          </w:p>
        </w:tc>
      </w:tr>
      <w:tr>
        <w:tc>
          <w:tcPr>
            <w:tcW w:type="dxa" w:w="3600"/>
            <w:vAlign w:val="center"/>
          </w:tcPr>
          <w:p>
            <w:pPr>
              <w:pStyle w:val="TableText"/>
            </w:pPr>
            <w:r/>
            <w:r>
              <w:rPr>
                <w:b w:val="0"/>
              </w:rPr>
              <w:t>Cybersecurity &amp; testing</w:t>
            </w:r>
          </w:p>
        </w:tc>
        <w:tc>
          <w:tcPr>
            <w:tcW w:type="dxa" w:w="2304"/>
            <w:vAlign w:val="center"/>
          </w:tcPr>
          <w:p>
            <w:pPr>
              <w:pStyle w:val="TableText"/>
            </w:pPr>
            <w:r/>
            <w:r>
              <w:rPr>
                <w:b w:val="0"/>
              </w:rPr>
              <w:t>₹50,000</w:t>
            </w:r>
          </w:p>
        </w:tc>
        <w:tc>
          <w:tcPr>
            <w:tcW w:type="dxa" w:w="4464"/>
            <w:vAlign w:val="center"/>
          </w:tcPr>
          <w:p>
            <w:pPr>
              <w:pStyle w:val="TableText"/>
            </w:pPr>
            <w:r/>
            <w:r>
              <w:rPr>
                <w:b w:val="0"/>
              </w:rPr>
              <w:t>Assessment and remediation allowance</w:t>
            </w:r>
          </w:p>
        </w:tc>
      </w:tr>
      <w:tr>
        <w:tc>
          <w:tcPr>
            <w:tcW w:type="dxa" w:w="3600"/>
            <w:vAlign w:val="center"/>
          </w:tcPr>
          <w:p>
            <w:pPr>
              <w:pStyle w:val="TableText"/>
            </w:pPr>
            <w:r/>
            <w:r>
              <w:rPr>
                <w:b w:val="0"/>
              </w:rPr>
              <w:t>Training &amp; documentation</w:t>
            </w:r>
          </w:p>
        </w:tc>
        <w:tc>
          <w:tcPr>
            <w:tcW w:type="dxa" w:w="2304"/>
            <w:vAlign w:val="center"/>
          </w:tcPr>
          <w:p>
            <w:pPr>
              <w:pStyle w:val="TableText"/>
            </w:pPr>
            <w:r/>
            <w:r>
              <w:rPr>
                <w:b w:val="0"/>
              </w:rPr>
              <w:t>₹30,000</w:t>
            </w:r>
          </w:p>
        </w:tc>
        <w:tc>
          <w:tcPr>
            <w:tcW w:type="dxa" w:w="4464"/>
            <w:vAlign w:val="center"/>
          </w:tcPr>
          <w:p>
            <w:pPr>
              <w:pStyle w:val="TableText"/>
            </w:pPr>
            <w:r/>
            <w:r>
              <w:rPr>
                <w:b w:val="0"/>
              </w:rPr>
              <w:t>Materials, workshops and support</w:t>
            </w:r>
          </w:p>
        </w:tc>
      </w:tr>
      <w:tr>
        <w:tc>
          <w:tcPr>
            <w:tcW w:type="dxa" w:w="3600"/>
            <w:vAlign w:val="center"/>
          </w:tcPr>
          <w:p>
            <w:pPr>
              <w:pStyle w:val="TableText"/>
            </w:pPr>
            <w:r/>
            <w:r>
              <w:rPr>
                <w:b w:val="0"/>
              </w:rPr>
              <w:t>Monitoring/maintenance</w:t>
            </w:r>
          </w:p>
        </w:tc>
        <w:tc>
          <w:tcPr>
            <w:tcW w:type="dxa" w:w="2304"/>
            <w:vAlign w:val="center"/>
          </w:tcPr>
          <w:p>
            <w:pPr>
              <w:pStyle w:val="TableText"/>
            </w:pPr>
            <w:r/>
            <w:r>
              <w:rPr>
                <w:b w:val="0"/>
              </w:rPr>
              <w:t>₹50,000</w:t>
            </w:r>
          </w:p>
        </w:tc>
        <w:tc>
          <w:tcPr>
            <w:tcW w:type="dxa" w:w="4464"/>
            <w:vAlign w:val="center"/>
          </w:tcPr>
          <w:p>
            <w:pPr>
              <w:pStyle w:val="TableText"/>
            </w:pPr>
            <w:r/>
            <w:r>
              <w:rPr>
                <w:b w:val="0"/>
              </w:rPr>
              <w:t>Post-pilot support allowance</w:t>
            </w:r>
          </w:p>
        </w:tc>
      </w:tr>
      <w:tr>
        <w:tc>
          <w:tcPr>
            <w:tcW w:type="dxa" w:w="3600"/>
            <w:vAlign w:val="center"/>
          </w:tcPr>
          <w:p>
            <w:pPr>
              <w:pStyle w:val="TableText"/>
            </w:pPr>
            <w:r/>
            <w:r>
              <w:rPr>
                <w:b w:val="0"/>
              </w:rPr>
              <w:t>Contingency (~10%)</w:t>
            </w:r>
          </w:p>
        </w:tc>
        <w:tc>
          <w:tcPr>
            <w:tcW w:type="dxa" w:w="2304"/>
            <w:vAlign w:val="center"/>
          </w:tcPr>
          <w:p>
            <w:pPr>
              <w:pStyle w:val="TableText"/>
            </w:pPr>
            <w:r/>
            <w:r>
              <w:rPr>
                <w:b w:val="0"/>
              </w:rPr>
              <w:t>₹80,000</w:t>
            </w:r>
          </w:p>
        </w:tc>
        <w:tc>
          <w:tcPr>
            <w:tcW w:type="dxa" w:w="4464"/>
            <w:vAlign w:val="center"/>
          </w:tcPr>
          <w:p>
            <w:pPr>
              <w:pStyle w:val="TableText"/>
            </w:pPr>
            <w:r/>
            <w:r>
              <w:rPr>
                <w:b w:val="0"/>
              </w:rPr>
              <w:t>Unexpected technical/operational needs</w:t>
            </w:r>
          </w:p>
        </w:tc>
      </w:tr>
      <w:tr>
        <w:tc>
          <w:tcPr>
            <w:tcW w:type="dxa" w:w="3600"/>
            <w:vAlign w:val="center"/>
          </w:tcPr>
          <w:p>
            <w:pPr>
              <w:pStyle w:val="TableText"/>
            </w:pPr>
            <w:r/>
            <w:r>
              <w:rPr>
                <w:b w:val="0"/>
              </w:rPr>
              <w:t>Estimated pilot total</w:t>
            </w:r>
          </w:p>
        </w:tc>
        <w:tc>
          <w:tcPr>
            <w:tcW w:type="dxa" w:w="2304"/>
            <w:vAlign w:val="center"/>
          </w:tcPr>
          <w:p>
            <w:pPr>
              <w:pStyle w:val="TableText"/>
            </w:pPr>
            <w:r/>
            <w:r>
              <w:rPr>
                <w:b w:val="0"/>
              </w:rPr>
              <w:t>₹9,10,000</w:t>
            </w:r>
          </w:p>
        </w:tc>
        <w:tc>
          <w:tcPr>
            <w:tcW w:type="dxa" w:w="4464"/>
            <w:vAlign w:val="center"/>
          </w:tcPr>
          <w:p>
            <w:pPr>
              <w:pStyle w:val="TableText"/>
            </w:pPr>
            <w:r/>
            <w:r>
              <w:rPr>
                <w:b w:val="0"/>
              </w:rPr>
              <w:t>Planning estimate; not a vendor quotation</w:t>
            </w:r>
          </w:p>
        </w:tc>
      </w:tr>
    </w:tbl>
    <w:p/>
    <w:p>
      <w:pPr>
        <w:pStyle w:val="Heading1"/>
      </w:pPr>
      <w:r>
        <w:t>10. Risk Management and Mitigation Strategy</w:t>
      </w:r>
    </w:p>
    <w:p>
      <w:pPr>
        <w:spacing w:after="160"/>
      </w:pPr>
      <w:r>
        <w:t>Risk management should be continuous from project initiation through post-deployment monitoring. The most important clinical risk is a false-negative output that creates inappropriate reassurance. This risk can be reduced through appropriate validation, sensitivity-focused evaluation, human review, out-of-scope detection, and explicit clinical responsibility. False positives may increase workload and anxiety, so specificity and alert burden should also be monitored. Dataset bias is another major risk: if the development data do not represent the intended population, average performance may hide subgroup failures. Subgroup analysis and representative local validation are therefore required before scale-up.</w:t>
        <w:br/>
        <w:br/>
        <w:t>Technical risks include data-interface failures, software bugs, slow response times, model drift, and system downtime. These should be addressed through automated validation, software testing, version control, monitoring, backups, disaster-recovery procedures, and a manual fallback workflow. Cybersecurity risks include unauthorised access, credential compromise, malicious manipulation, and data leakage. These require least-privilege access, encryption, secure authentication, logging, vulnerability management, and incident response.</w:t>
        <w:br/>
        <w:br/>
        <w:t>Human factors are equally important. Automation bias may lead users to accept an AI output without sufficient review, while alert fatigue may lead users to ignore useful information. The interface should therefore avoid presenting the model as an authority; it should communicate uncertainty, limitations, and the need for clinical judgement. Every identified risk should have an owner, mitigation action, monitoring indicator, and escalation threshold. High-severity risks should have explicit stop criteria. The project steering group should review the risk register at every major gate and after any serious incident or significant model/software change.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728"/>
            <w:vAlign w:val="center"/>
            <w:shd w:fill="D9EAF7"/>
          </w:tcPr>
          <w:p>
            <w:pPr>
              <w:pStyle w:val="TableText"/>
            </w:pPr>
            <w:r/>
            <w:r>
              <w:rPr>
                <w:b/>
              </w:rPr>
              <w:t>Risk</w:t>
            </w:r>
          </w:p>
        </w:tc>
        <w:tc>
          <w:tcPr>
            <w:tcW w:type="dxa" w:w="1008"/>
            <w:vAlign w:val="center"/>
            <w:shd w:fill="D9EAF7"/>
          </w:tcPr>
          <w:p>
            <w:pPr>
              <w:pStyle w:val="TableText"/>
            </w:pPr>
            <w:r/>
            <w:r>
              <w:rPr>
                <w:b/>
              </w:rPr>
              <w:t>Impact</w:t>
            </w:r>
          </w:p>
        </w:tc>
        <w:tc>
          <w:tcPr>
            <w:tcW w:type="dxa" w:w="1296"/>
            <w:vAlign w:val="center"/>
            <w:shd w:fill="D9EAF7"/>
          </w:tcPr>
          <w:p>
            <w:pPr>
              <w:pStyle w:val="TableText"/>
            </w:pPr>
            <w:r/>
            <w:r>
              <w:rPr>
                <w:b/>
              </w:rPr>
              <w:t>Likelihood</w:t>
            </w:r>
          </w:p>
        </w:tc>
        <w:tc>
          <w:tcPr>
            <w:tcW w:type="dxa" w:w="4464"/>
            <w:vAlign w:val="center"/>
            <w:shd w:fill="D9EAF7"/>
          </w:tcPr>
          <w:p>
            <w:pPr>
              <w:pStyle w:val="TableText"/>
            </w:pPr>
            <w:r/>
            <w:r>
              <w:rPr>
                <w:b/>
              </w:rPr>
              <w:t>Mitigation</w:t>
            </w:r>
          </w:p>
        </w:tc>
        <w:tc>
          <w:tcPr>
            <w:tcW w:type="dxa" w:w="1584"/>
            <w:vAlign w:val="center"/>
            <w:shd w:fill="D9EAF7"/>
          </w:tcPr>
          <w:p>
            <w:pPr>
              <w:pStyle w:val="TableText"/>
            </w:pPr>
            <w:r/>
            <w:r>
              <w:rPr>
                <w:b/>
              </w:rPr>
              <w:t>Owner</w:t>
            </w:r>
          </w:p>
        </w:tc>
      </w:tr>
      <w:tr>
        <w:tc>
          <w:tcPr>
            <w:tcW w:type="dxa" w:w="1728"/>
            <w:vAlign w:val="center"/>
          </w:tcPr>
          <w:p>
            <w:pPr>
              <w:pStyle w:val="TableText"/>
            </w:pPr>
            <w:r/>
            <w:r>
              <w:rPr>
                <w:b w:val="0"/>
              </w:rPr>
              <w:t>False negative</w:t>
            </w:r>
          </w:p>
        </w:tc>
        <w:tc>
          <w:tcPr>
            <w:tcW w:type="dxa" w:w="1008"/>
            <w:vAlign w:val="center"/>
          </w:tcPr>
          <w:p>
            <w:pPr>
              <w:pStyle w:val="TableText"/>
            </w:pPr>
            <w:r/>
            <w:r>
              <w:rPr>
                <w:b w:val="0"/>
              </w:rPr>
              <w:t>High</w:t>
            </w:r>
          </w:p>
        </w:tc>
        <w:tc>
          <w:tcPr>
            <w:tcW w:type="dxa" w:w="1296"/>
            <w:vAlign w:val="center"/>
          </w:tcPr>
          <w:p>
            <w:pPr>
              <w:pStyle w:val="TableText"/>
            </w:pPr>
            <w:r/>
            <w:r>
              <w:rPr>
                <w:b w:val="0"/>
              </w:rPr>
              <w:t>Medium</w:t>
            </w:r>
          </w:p>
        </w:tc>
        <w:tc>
          <w:tcPr>
            <w:tcW w:type="dxa" w:w="4464"/>
            <w:vAlign w:val="center"/>
          </w:tcPr>
          <w:p>
            <w:pPr>
              <w:pStyle w:val="TableText"/>
            </w:pPr>
            <w:r/>
            <w:r>
              <w:rPr>
                <w:b w:val="0"/>
              </w:rPr>
              <w:t>Sensitivity-focused validation, human review, stop criteria</w:t>
            </w:r>
          </w:p>
        </w:tc>
        <w:tc>
          <w:tcPr>
            <w:tcW w:type="dxa" w:w="1584"/>
            <w:vAlign w:val="center"/>
          </w:tcPr>
          <w:p>
            <w:pPr>
              <w:pStyle w:val="TableText"/>
            </w:pPr>
            <w:r/>
            <w:r>
              <w:rPr>
                <w:b w:val="0"/>
              </w:rPr>
              <w:t>Clinical lead</w:t>
            </w:r>
          </w:p>
        </w:tc>
      </w:tr>
      <w:tr>
        <w:tc>
          <w:tcPr>
            <w:tcW w:type="dxa" w:w="1728"/>
            <w:vAlign w:val="center"/>
          </w:tcPr>
          <w:p>
            <w:pPr>
              <w:pStyle w:val="TableText"/>
            </w:pPr>
            <w:r/>
            <w:r>
              <w:rPr>
                <w:b w:val="0"/>
              </w:rPr>
              <w:t>Dataset bias</w:t>
            </w:r>
          </w:p>
        </w:tc>
        <w:tc>
          <w:tcPr>
            <w:tcW w:type="dxa" w:w="1008"/>
            <w:vAlign w:val="center"/>
          </w:tcPr>
          <w:p>
            <w:pPr>
              <w:pStyle w:val="TableText"/>
            </w:pPr>
            <w:r/>
            <w:r>
              <w:rPr>
                <w:b w:val="0"/>
              </w:rPr>
              <w:t>High</w:t>
            </w:r>
          </w:p>
        </w:tc>
        <w:tc>
          <w:tcPr>
            <w:tcW w:type="dxa" w:w="1296"/>
            <w:vAlign w:val="center"/>
          </w:tcPr>
          <w:p>
            <w:pPr>
              <w:pStyle w:val="TableText"/>
            </w:pPr>
            <w:r/>
            <w:r>
              <w:rPr>
                <w:b w:val="0"/>
              </w:rPr>
              <w:t>Medium</w:t>
            </w:r>
          </w:p>
        </w:tc>
        <w:tc>
          <w:tcPr>
            <w:tcW w:type="dxa" w:w="4464"/>
            <w:vAlign w:val="center"/>
          </w:tcPr>
          <w:p>
            <w:pPr>
              <w:pStyle w:val="TableText"/>
            </w:pPr>
            <w:r/>
            <w:r>
              <w:rPr>
                <w:b w:val="0"/>
              </w:rPr>
              <w:t>Subgroup validation and representative local data</w:t>
            </w:r>
          </w:p>
        </w:tc>
        <w:tc>
          <w:tcPr>
            <w:tcW w:type="dxa" w:w="1584"/>
            <w:vAlign w:val="center"/>
          </w:tcPr>
          <w:p>
            <w:pPr>
              <w:pStyle w:val="TableText"/>
            </w:pPr>
            <w:r/>
            <w:r>
              <w:rPr>
                <w:b w:val="0"/>
              </w:rPr>
              <w:t>ML lead</w:t>
            </w:r>
          </w:p>
        </w:tc>
      </w:tr>
      <w:tr>
        <w:tc>
          <w:tcPr>
            <w:tcW w:type="dxa" w:w="1728"/>
            <w:vAlign w:val="center"/>
          </w:tcPr>
          <w:p>
            <w:pPr>
              <w:pStyle w:val="TableText"/>
            </w:pPr>
            <w:r/>
            <w:r>
              <w:rPr>
                <w:b w:val="0"/>
              </w:rPr>
              <w:t>Data/interface error</w:t>
            </w:r>
          </w:p>
        </w:tc>
        <w:tc>
          <w:tcPr>
            <w:tcW w:type="dxa" w:w="1008"/>
            <w:vAlign w:val="center"/>
          </w:tcPr>
          <w:p>
            <w:pPr>
              <w:pStyle w:val="TableText"/>
            </w:pPr>
            <w:r/>
            <w:r>
              <w:rPr>
                <w:b w:val="0"/>
              </w:rPr>
              <w:t>High</w:t>
            </w:r>
          </w:p>
        </w:tc>
        <w:tc>
          <w:tcPr>
            <w:tcW w:type="dxa" w:w="1296"/>
            <w:vAlign w:val="center"/>
          </w:tcPr>
          <w:p>
            <w:pPr>
              <w:pStyle w:val="TableText"/>
            </w:pPr>
            <w:r/>
            <w:r>
              <w:rPr>
                <w:b w:val="0"/>
              </w:rPr>
              <w:t>Medium</w:t>
            </w:r>
          </w:p>
        </w:tc>
        <w:tc>
          <w:tcPr>
            <w:tcW w:type="dxa" w:w="4464"/>
            <w:vAlign w:val="center"/>
          </w:tcPr>
          <w:p>
            <w:pPr>
              <w:pStyle w:val="TableText"/>
            </w:pPr>
            <w:r/>
            <w:r>
              <w:rPr>
                <w:b w:val="0"/>
              </w:rPr>
              <w:t>Input validation, integration testing, audit logs</w:t>
            </w:r>
          </w:p>
        </w:tc>
        <w:tc>
          <w:tcPr>
            <w:tcW w:type="dxa" w:w="1584"/>
            <w:vAlign w:val="center"/>
          </w:tcPr>
          <w:p>
            <w:pPr>
              <w:pStyle w:val="TableText"/>
            </w:pPr>
            <w:r/>
            <w:r>
              <w:rPr>
                <w:b w:val="0"/>
              </w:rPr>
              <w:t>IT lead</w:t>
            </w:r>
          </w:p>
        </w:tc>
      </w:tr>
      <w:tr>
        <w:tc>
          <w:tcPr>
            <w:tcW w:type="dxa" w:w="1728"/>
            <w:vAlign w:val="center"/>
          </w:tcPr>
          <w:p>
            <w:pPr>
              <w:pStyle w:val="TableText"/>
            </w:pPr>
            <w:r/>
            <w:r>
              <w:rPr>
                <w:b w:val="0"/>
              </w:rPr>
              <w:t>Cybersecurity incident</w:t>
            </w:r>
          </w:p>
        </w:tc>
        <w:tc>
          <w:tcPr>
            <w:tcW w:type="dxa" w:w="1008"/>
            <w:vAlign w:val="center"/>
          </w:tcPr>
          <w:p>
            <w:pPr>
              <w:pStyle w:val="TableText"/>
            </w:pPr>
            <w:r/>
            <w:r>
              <w:rPr>
                <w:b w:val="0"/>
              </w:rPr>
              <w:t>High</w:t>
            </w:r>
          </w:p>
        </w:tc>
        <w:tc>
          <w:tcPr>
            <w:tcW w:type="dxa" w:w="1296"/>
            <w:vAlign w:val="center"/>
          </w:tcPr>
          <w:p>
            <w:pPr>
              <w:pStyle w:val="TableText"/>
            </w:pPr>
            <w:r/>
            <w:r>
              <w:rPr>
                <w:b w:val="0"/>
              </w:rPr>
              <w:t>Low–Med</w:t>
            </w:r>
          </w:p>
        </w:tc>
        <w:tc>
          <w:tcPr>
            <w:tcW w:type="dxa" w:w="4464"/>
            <w:vAlign w:val="center"/>
          </w:tcPr>
          <w:p>
            <w:pPr>
              <w:pStyle w:val="TableText"/>
            </w:pPr>
            <w:r/>
            <w:r>
              <w:rPr>
                <w:b w:val="0"/>
              </w:rPr>
              <w:t>IAM, encryption, monitoring, vulnerability testing</w:t>
            </w:r>
          </w:p>
        </w:tc>
        <w:tc>
          <w:tcPr>
            <w:tcW w:type="dxa" w:w="1584"/>
            <w:vAlign w:val="center"/>
          </w:tcPr>
          <w:p>
            <w:pPr>
              <w:pStyle w:val="TableText"/>
            </w:pPr>
            <w:r/>
            <w:r>
              <w:rPr>
                <w:b w:val="0"/>
              </w:rPr>
              <w:t>Security lead</w:t>
            </w:r>
          </w:p>
        </w:tc>
      </w:tr>
      <w:tr>
        <w:tc>
          <w:tcPr>
            <w:tcW w:type="dxa" w:w="1728"/>
            <w:vAlign w:val="center"/>
          </w:tcPr>
          <w:p>
            <w:pPr>
              <w:pStyle w:val="TableText"/>
            </w:pPr>
            <w:r/>
            <w:r>
              <w:rPr>
                <w:b w:val="0"/>
              </w:rPr>
              <w:t>Model drift</w:t>
            </w:r>
          </w:p>
        </w:tc>
        <w:tc>
          <w:tcPr>
            <w:tcW w:type="dxa" w:w="1008"/>
            <w:vAlign w:val="center"/>
          </w:tcPr>
          <w:p>
            <w:pPr>
              <w:pStyle w:val="TableText"/>
            </w:pPr>
            <w:r/>
            <w:r>
              <w:rPr>
                <w:b w:val="0"/>
              </w:rPr>
              <w:t>High</w:t>
            </w:r>
          </w:p>
        </w:tc>
        <w:tc>
          <w:tcPr>
            <w:tcW w:type="dxa" w:w="1296"/>
            <w:vAlign w:val="center"/>
          </w:tcPr>
          <w:p>
            <w:pPr>
              <w:pStyle w:val="TableText"/>
            </w:pPr>
            <w:r/>
            <w:r>
              <w:rPr>
                <w:b w:val="0"/>
              </w:rPr>
              <w:t>Medium</w:t>
            </w:r>
          </w:p>
        </w:tc>
        <w:tc>
          <w:tcPr>
            <w:tcW w:type="dxa" w:w="4464"/>
            <w:vAlign w:val="center"/>
          </w:tcPr>
          <w:p>
            <w:pPr>
              <w:pStyle w:val="TableText"/>
            </w:pPr>
            <w:r/>
            <w:r>
              <w:rPr>
                <w:b w:val="0"/>
              </w:rPr>
              <w:t>Performance/drift monitoring and scheduled review</w:t>
            </w:r>
          </w:p>
        </w:tc>
        <w:tc>
          <w:tcPr>
            <w:tcW w:type="dxa" w:w="1584"/>
            <w:vAlign w:val="center"/>
          </w:tcPr>
          <w:p>
            <w:pPr>
              <w:pStyle w:val="TableText"/>
            </w:pPr>
            <w:r/>
            <w:r>
              <w:rPr>
                <w:b w:val="0"/>
              </w:rPr>
              <w:t>ML lead</w:t>
            </w:r>
          </w:p>
        </w:tc>
      </w:tr>
      <w:tr>
        <w:tc>
          <w:tcPr>
            <w:tcW w:type="dxa" w:w="1728"/>
            <w:vAlign w:val="center"/>
          </w:tcPr>
          <w:p>
            <w:pPr>
              <w:pStyle w:val="TableText"/>
            </w:pPr>
            <w:r/>
            <w:r>
              <w:rPr>
                <w:b w:val="0"/>
              </w:rPr>
              <w:t>Alert fatigue</w:t>
            </w:r>
          </w:p>
        </w:tc>
        <w:tc>
          <w:tcPr>
            <w:tcW w:type="dxa" w:w="1008"/>
            <w:vAlign w:val="center"/>
          </w:tcPr>
          <w:p>
            <w:pPr>
              <w:pStyle w:val="TableText"/>
            </w:pPr>
            <w:r/>
            <w:r>
              <w:rPr>
                <w:b w:val="0"/>
              </w:rPr>
              <w:t>Medium</w:t>
            </w:r>
          </w:p>
        </w:tc>
        <w:tc>
          <w:tcPr>
            <w:tcW w:type="dxa" w:w="1296"/>
            <w:vAlign w:val="center"/>
          </w:tcPr>
          <w:p>
            <w:pPr>
              <w:pStyle w:val="TableText"/>
            </w:pPr>
            <w:r/>
            <w:r>
              <w:rPr>
                <w:b w:val="0"/>
              </w:rPr>
              <w:t>Medium</w:t>
            </w:r>
          </w:p>
        </w:tc>
        <w:tc>
          <w:tcPr>
            <w:tcW w:type="dxa" w:w="4464"/>
            <w:vAlign w:val="center"/>
          </w:tcPr>
          <w:p>
            <w:pPr>
              <w:pStyle w:val="TableText"/>
            </w:pPr>
            <w:r/>
            <w:r>
              <w:rPr>
                <w:b w:val="0"/>
              </w:rPr>
              <w:t>Workflow testing and threshold optimisation</w:t>
            </w:r>
          </w:p>
        </w:tc>
        <w:tc>
          <w:tcPr>
            <w:tcW w:type="dxa" w:w="1584"/>
            <w:vAlign w:val="center"/>
          </w:tcPr>
          <w:p>
            <w:pPr>
              <w:pStyle w:val="TableText"/>
            </w:pPr>
            <w:r/>
            <w:r>
              <w:rPr>
                <w:b w:val="0"/>
              </w:rPr>
              <w:t>Clinical lead</w:t>
            </w:r>
          </w:p>
        </w:tc>
      </w:tr>
      <w:tr>
        <w:tc>
          <w:tcPr>
            <w:tcW w:type="dxa" w:w="1728"/>
            <w:vAlign w:val="center"/>
          </w:tcPr>
          <w:p>
            <w:pPr>
              <w:pStyle w:val="TableText"/>
            </w:pPr>
            <w:r/>
            <w:r>
              <w:rPr>
                <w:b w:val="0"/>
              </w:rPr>
              <w:t>System downtime</w:t>
            </w:r>
          </w:p>
        </w:tc>
        <w:tc>
          <w:tcPr>
            <w:tcW w:type="dxa" w:w="1008"/>
            <w:vAlign w:val="center"/>
          </w:tcPr>
          <w:p>
            <w:pPr>
              <w:pStyle w:val="TableText"/>
            </w:pPr>
            <w:r/>
            <w:r>
              <w:rPr>
                <w:b w:val="0"/>
              </w:rPr>
              <w:t>High</w:t>
            </w:r>
          </w:p>
        </w:tc>
        <w:tc>
          <w:tcPr>
            <w:tcW w:type="dxa" w:w="1296"/>
            <w:vAlign w:val="center"/>
          </w:tcPr>
          <w:p>
            <w:pPr>
              <w:pStyle w:val="TableText"/>
            </w:pPr>
            <w:r/>
            <w:r>
              <w:rPr>
                <w:b w:val="0"/>
              </w:rPr>
              <w:t>Low–Med</w:t>
            </w:r>
          </w:p>
        </w:tc>
        <w:tc>
          <w:tcPr>
            <w:tcW w:type="dxa" w:w="4464"/>
            <w:vAlign w:val="center"/>
          </w:tcPr>
          <w:p>
            <w:pPr>
              <w:pStyle w:val="TableText"/>
            </w:pPr>
            <w:r/>
            <w:r>
              <w:rPr>
                <w:b w:val="0"/>
              </w:rPr>
              <w:t>Redundancy, backup, manual fallback</w:t>
            </w:r>
          </w:p>
        </w:tc>
        <w:tc>
          <w:tcPr>
            <w:tcW w:type="dxa" w:w="1584"/>
            <w:vAlign w:val="center"/>
          </w:tcPr>
          <w:p>
            <w:pPr>
              <w:pStyle w:val="TableText"/>
            </w:pPr>
            <w:r/>
            <w:r>
              <w:rPr>
                <w:b w:val="0"/>
              </w:rPr>
              <w:t>IT lead</w:t>
            </w:r>
          </w:p>
        </w:tc>
      </w:tr>
      <w:tr>
        <w:tc>
          <w:tcPr>
            <w:tcW w:type="dxa" w:w="1728"/>
            <w:vAlign w:val="center"/>
          </w:tcPr>
          <w:p>
            <w:pPr>
              <w:pStyle w:val="TableText"/>
            </w:pPr>
            <w:r/>
            <w:r>
              <w:rPr>
                <w:b w:val="0"/>
              </w:rPr>
              <w:t>Automation bias</w:t>
            </w:r>
          </w:p>
        </w:tc>
        <w:tc>
          <w:tcPr>
            <w:tcW w:type="dxa" w:w="1008"/>
            <w:vAlign w:val="center"/>
          </w:tcPr>
          <w:p>
            <w:pPr>
              <w:pStyle w:val="TableText"/>
            </w:pPr>
            <w:r/>
            <w:r>
              <w:rPr>
                <w:b w:val="0"/>
              </w:rPr>
              <w:t>High</w:t>
            </w:r>
          </w:p>
        </w:tc>
        <w:tc>
          <w:tcPr>
            <w:tcW w:type="dxa" w:w="1296"/>
            <w:vAlign w:val="center"/>
          </w:tcPr>
          <w:p>
            <w:pPr>
              <w:pStyle w:val="TableText"/>
            </w:pPr>
            <w:r/>
            <w:r>
              <w:rPr>
                <w:b w:val="0"/>
              </w:rPr>
              <w:t>Medium</w:t>
            </w:r>
          </w:p>
        </w:tc>
        <w:tc>
          <w:tcPr>
            <w:tcW w:type="dxa" w:w="4464"/>
            <w:vAlign w:val="center"/>
          </w:tcPr>
          <w:p>
            <w:pPr>
              <w:pStyle w:val="TableText"/>
            </w:pPr>
            <w:r/>
            <w:r>
              <w:rPr>
                <w:b w:val="0"/>
              </w:rPr>
              <w:t>Training, explanation, explicit human override</w:t>
            </w:r>
          </w:p>
        </w:tc>
        <w:tc>
          <w:tcPr>
            <w:tcW w:type="dxa" w:w="1584"/>
            <w:vAlign w:val="center"/>
          </w:tcPr>
          <w:p>
            <w:pPr>
              <w:pStyle w:val="TableText"/>
            </w:pPr>
            <w:r/>
            <w:r>
              <w:rPr>
                <w:b w:val="0"/>
              </w:rPr>
              <w:t>Clinical lead</w:t>
            </w:r>
          </w:p>
        </w:tc>
      </w:tr>
    </w:tbl>
    <w:p/>
    <w:p>
      <w:pPr>
        <w:pStyle w:val="Heading1"/>
      </w:pPr>
      <w:r>
        <w:t>11. Evaluation Framework: Clinical, Technical, Operational and Economic</w:t>
      </w:r>
    </w:p>
    <w:p>
      <w:pPr>
        <w:spacing w:after="160"/>
      </w:pPr>
      <w:r>
        <w:t>Evaluation must go beyond a single accuracy number. The proposed framework uses four levels. First, technical performance should include sensitivity, specificity, precision, recall, F1-score, AUROC, calibration, confusion-matrix analysis, and inference latency. The most appropriate primary metric depends on the intended clinical use. For a safety-sensitive risk-stratification workflow, sensitivity and false-negative behaviour deserve particular attention. Second, clinical evaluation should assess whether the tool changes diagnostic workflow in a useful way, whether clinicians understand the output, and whether it improves prioritisation or consistency without causing unsafe delays.</w:t>
        <w:br/>
        <w:br/>
        <w:t>Third, operational evaluation should measure system uptime, integration failures, average response time, user adoption, override frequency, alert burden, training completion, support tickets, and downtime recovery. Fourth, economic evaluation should compare implementation and maintenance costs with measurable benefits such as time saved, reduced repetitive work, or improved resource allocation. The project should define a baseline period before pilot deployment whenever feasible so that changes can be compared rather than described only subjectively.</w:t>
        <w:br/>
        <w:br/>
        <w:t>Evaluation should also include subgroup analysis and qualitative feedback. A model can appear successful overall while performing differently across age groups, sex, demographic groups, clinical sites, or other relevant categories. Results should be reviewed for clinically meaningful differences and not only statistical averages. During the pilot, a dashboard can report weekly KPIs, while a formal evaluation report is produced at the end of the pilot. The steering committee should use predefined gates: continue, modify, pause, or stop. This creates a transparent decision process and directly addresses the need for evidence, clinical implications, and scalability rather than relying on a polished prototype alone.</w:t>
      </w:r>
    </w:p>
    <w:p>
      <w:pPr>
        <w:pStyle w:val="Heading1"/>
      </w:pPr>
      <w:r>
        <w:t>12. Scalability, Sustainability and Continuous Improvement</w:t>
      </w:r>
    </w:p>
    <w:p>
      <w:pPr>
        <w:spacing w:after="160"/>
      </w:pPr>
      <w:r>
        <w:t>Scalability should be designed from the beginning, but expansion should follow evidence rather than ambition. The first pilot should establish a reusable architecture, documentation set, model registry, security controls, monitoring framework, and implementation playbook. Once the initial site demonstrates acceptable safety, performance, usability, and reliability, the system can be evaluated for additional departments or healthcare facilities. Each new site should undergo local data-quality assessment and validation because differences in equipment, patient populations, coding practices, workflow, and data distributions can change model performance.</w:t>
        <w:br/>
        <w:br/>
        <w:t>Technical scalability can be supported through containerised services, API-based integration, centralised monitoring, automated testing, and version-controlled deployment. Operational scalability requires standard operating procedures, help-desk support, user training packages, maintenance schedules, and clear ownership. Financial sustainability requires a recurring budget for hosting, cybersecurity, software maintenance, monitoring, validation, and model review rather than treating AI as a one-time project.</w:t>
        <w:br/>
        <w:br/>
        <w:t>Continuous monitoring is essential because clinical environments change. The project should track input-data drift, prediction distributions, performance when reference outcomes become available, subgroup performance, latency, uptime, and user feedback. A scheduled model review can determine whether recalibration, retraining, threshold changes, or workflow redesign are required. Any new model version should pass documented validation and approval before release. A rollback mechanism should allow the organisation to return to a previous validated version if unexpected problems occur.</w:t>
        <w:br/>
        <w:br/>
        <w:t>The long-term goal is not simply to deploy an AI model, but to establish a safe and repeatable process for using AI in healthcare. If the system demonstrates measurable clinical and operational value, the same governance and implementation framework can be adapted for other diagnostic or patient-monitoring applications.</w:t>
      </w:r>
    </w:p>
    <w:p>
      <w:pPr>
        <w:pStyle w:val="Heading1"/>
      </w:pPr>
      <w:r>
        <w:t>13. Monitoring Dashboard and Post-Deployment Review</w:t>
      </w:r>
    </w:p>
    <w:p>
      <w:pPr>
        <w:spacing w:after="160"/>
      </w:pPr>
      <w:r>
        <w:t>A production AI system needs an operational dashboard that makes its health visible to the people responsible for it. The dashboard should combine model, system, workflow, and safety indicators rather than focusing only on model accuracy. Technical indicators should include uptime, inference latency, failed requests, input-validation failures, API errors, and infrastructure utilisation. Model indicators should include prediction distribution, confidence or uncertainty patterns, data drift, calibration when outcomes become available, and performance by relevant subgroup. Clinical indicators should include clinician overrides, escalation frequency, false-negative investigations, false-positive burden, and any safety events associated with the tool.</w:t>
        <w:br/>
        <w:br/>
        <w:t>The dashboard should use thresholds that trigger action. A warning threshold can prompt investigation, while a critical threshold can trigger temporary suspension or rollback according to the governance plan. For example, a sudden change in input distributions could indicate an upstream data-interface change rather than a change in patient population. Similarly, a sudden increase in low-confidence predictions could indicate data-quality problems. Monitoring should therefore support root-cause analysis, not merely display red or green status indicators.</w:t>
        <w:br/>
        <w:br/>
        <w:t>Post-deployment review should occur at defined intervals—for example, weekly during the first month, monthly during the first six months, and then quarterly if the system remains stable. A formal annual review should reassess intended use, validation evidence, security, clinical utility, costs, user feedback, and whether the model remains appropriate. All incidents and significant changes should be documented. This monitoring structure makes the implementation sustainable and directly addresses scalability and clinical implications highlighted by the task requirements.</w:t>
      </w:r>
    </w:p>
    <w:p>
      <w:pPr>
        <w:pStyle w:val="Heading1"/>
      </w:pPr>
      <w:r>
        <w:t>14. Conclusion and Recommendation</w:t>
      </w:r>
    </w:p>
    <w:p>
      <w:pPr>
        <w:spacing w:after="160"/>
      </w:pPr>
      <w:r>
        <w:t>The recommended approach is a pilot-first implementation of an AI-assisted breast cancer diagnostic decision-support system with explicit human oversight. The proposal is intentionally broader than model development: it connects the AI model to data governance, secure software engineering, clinical workflow, stakeholder training, risk management, evaluation, and long-term maintenance. This is important because a technically accurate model can still fail to deliver clinical value if it is difficult to use, poorly integrated, insecure, insufficiently validated, or deployed without appropriate monitoring.</w:t>
        <w:br/>
        <w:br/>
        <w:t>The roadmap recommends an initial 12-month programme with clear gates between governance, data preparation, model validation, integration, silent-mode testing, controlled clinical pilot, and scale-up. The most important implementation principle is that no stage should be skipped because of schedule pressure. Local validation and silent-mode testing provide a practical way to identify problems before clinicians rely on the system. The system should also remain non-autonomous: it can provide a risk estimate or supporting evidence, but the final clinical decision remains with qualified healthcare professionals.</w:t>
        <w:br/>
        <w:br/>
        <w:t>Based on the proposed criteria, the project should proceed to scale only if it demonstrates acceptable clinical performance, safe subgroup behaviour, reliable technical operation, good usability, manageable alert burden, and a positive overall value proposition. If any major safety issue is identified, the correct response is to pause and investigate rather than continue deployment. With these controls, the project can provide a realistic example of how healthcare AI moves from an experimental model toward a governed clinical-support service. The roadmap therefore addresses not only what technology should be built, but also how it should be introduced, evaluated, secured, monitored, and responsibly expanded.</w:t>
      </w:r>
    </w:p>
    <w:p>
      <w:pPr>
        <w:pStyle w:val="Heading1"/>
      </w:pPr>
      <w:r>
        <w:t>References and Supporting Frameworks</w:t>
      </w:r>
    </w:p>
    <w:p>
      <w:pPr>
        <w:pStyle w:val="ListNumber"/>
      </w:pPr>
      <w:r>
        <w:t>World Health Organization. Ethics and Governance of Artificial Intelligence for Health. WHO guidance on responsible AI use in healthcare.</w:t>
      </w:r>
    </w:p>
    <w:p>
      <w:pPr>
        <w:pStyle w:val="ListNumber"/>
      </w:pPr>
      <w:r>
        <w:t>U.S. Food and Drug Administration. Artificial Intelligence and Machine Learning (AI/ML)-Enabled Medical Devices. Regulatory and lifecycle considerations.</w:t>
      </w:r>
    </w:p>
    <w:p>
      <w:pPr>
        <w:pStyle w:val="ListNumber"/>
      </w:pPr>
      <w:r>
        <w:t>National Institute of Standards and Technology. Artificial Intelligence Risk Management Framework (AI RMF 1.0). NIST.</w:t>
      </w:r>
    </w:p>
    <w:p>
      <w:pPr>
        <w:pStyle w:val="ListNumber"/>
      </w:pPr>
      <w:r>
        <w:t>National Institute of Standards and Technology. Cybersecurity Framework (CSF). NIST.</w:t>
      </w:r>
    </w:p>
    <w:p>
      <w:pPr>
        <w:pStyle w:val="ListNumber"/>
      </w:pPr>
      <w:r>
        <w:t>HL7 International. FHIR (Fast Healthcare Interoperability Resources) specification for healthcare information exchange.</w:t>
      </w:r>
    </w:p>
    <w:p>
      <w:pPr>
        <w:pStyle w:val="ListNumber"/>
      </w:pPr>
      <w:r>
        <w:t>Dataset basis for earlier diagnostic prototype: scikit-learn Breast Cancer Wisconsin (Diagnostic) dataset; use of this public dataset is suitable for educational benchmarking but does not establish clinical effectiveness.</w:t>
      </w:r>
    </w:p>
    <w:p>
      <w:pPr>
        <w:pStyle w:val="SmallNote"/>
      </w:pPr>
      <w:r>
        <w:t>Important limitation: This document is an educational implementation roadmap. It is not a clinical protocol, regulatory submission, or recommendation to deploy an AI diagnostic system without appropriate institutional, ethical, security, and regulatory review.</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Rahul Kumar | Week 4 – Healthcare AI Implementation Roadmap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 w:type="paragraph" w:customStyle="1" w:styleId="TableText">
    <w:name w:val="Table Text"/>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