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FINAL WEEK 6 INTERNSHIP PROJECT</w:t>
      </w:r>
    </w:p>
    <w:p>
      <w:pPr>
        <w:jc w:val="center"/>
      </w:pPr>
      <w:r>
        <w:rPr>
          <w:b/>
          <w:sz w:val="46"/>
        </w:rPr>
        <w:t>FUTURE TRENDS AND INNOVATION IN HEALTHCARE AI</w:t>
      </w:r>
    </w:p>
    <w:p>
      <w:pPr>
        <w:jc w:val="center"/>
      </w:pPr>
      <w:r>
        <w:rPr>
          <w:i/>
          <w:sz w:val="26"/>
        </w:rPr>
        <w:t>Real-World Evidence-Based Strategic Whitepaper</w:t>
      </w:r>
    </w:p>
    <w:p>
      <w:pPr>
        <w:jc w:val="center"/>
      </w:pPr>
      <w:r>
        <w:rPr>
          <w:b/>
        </w:rPr>
        <w:t>YUVA Internship / NSDC | Evidence cut-off: September 2026</w:t>
      </w:r>
    </w:p>
    <w:p/>
    <w:p>
      <w:pPr>
        <w:pStyle w:val="Heading1"/>
      </w:pPr>
      <w:r>
        <w:t>Executive Summary</w:t>
      </w:r>
    </w:p>
    <w:p>
      <w:r>
        <w:t>Healthcare Artificial Intelligence is moving from isolated prediction tools toward an integrated technology layer across clinical care, medical imaging, public health, pharmaceutical research and healthcare operations. The important strategic question is no longer whether AI can produce impressive outputs; it is whether a healthcare organization can prove that an AI-enabled workflow produces meaningful benefit while protecting patients from unacceptable risk. This whitepaper therefore combines forward-looking trend analysis with published real-world medical evidence. The evidence includes prospective sepsis studies, an AI-discovered drug that reached randomized clinical testing, large medical imaging and EHR research datasets, a regulated diabetic-retinopathy AI device, and the AlphaFold scientific infrastructure.</w:t>
        <w:br/>
        <w:br/>
        <w:t>The report uses an evidence-first model. Real numerical findings are attributed to their original studies rather than presented as invented patient data. For example, a Nature Medicine prospective multi-site study analyzed 6,877 sepsis patients identified by a machine-learning early-warning system; provider confirmation within three hours was associated with a 3.3% adjusted absolute and 18.7% adjusted relative reduction in in-hospital mortality. A separate Lausanne learning-health-system study analyzed 97,559 intervention-ward stays and 25,851 control-ward stays. In drug discovery, a randomized phase 2a trial of AI-discovered rentosertib enrolled 71 participants; the 60-mg once-daily group had a mean FVC change of +98.4 mL compared with −20.3 mL for placebo over 12 weeks. These results are study-specific and do not prove that every AI system improves care.</w:t>
        <w:br/>
        <w:br/>
        <w:t>The strategy proposed here is to define the healthcare problem first, establish the baseline, validate the model externally, assess subgroup performance, integrate human oversight, monitor real-world drift and scale only when predefined safety and effectiveness criteria are met. The report also includes a market-readiness framework, stakeholder action plan, KPI framework, medical-data plan and five-year roadmap. The overall message is that the future of Healthcare AI will be determined as much by evidence, governance and implementation quality as by model capability.</w:t>
      </w:r>
    </w:p>
    <w:p>
      <w:pPr>
        <w:pStyle w:val="Heading1"/>
      </w:pPr>
      <w:r>
        <w:t>1. Background and Current State</w:t>
      </w:r>
    </w:p>
    <w:p>
      <w:r>
        <w:t>Healthcare AI now includes predictive models, computer vision, natural-language systems, generative and multimodal foundation models, clinical decision-support tools, AI-enabled medical devices, genomics platforms and software that can automate parts of healthcare administration. WHO identifies applications across diagnosis and clinical care, patient-guided use, administrative work, medical education, scientific research and drug development. Its guidance on large multimodal models also emphasizes that inaccurate, biased or incomplete outputs can cause harm and that automation bias can lead people to overlook errors.</w:t>
        <w:br/>
        <w:br/>
        <w:t>The field is therefore moving into a deployment phase in which technical performance must be connected to clinical workflow. A retrospective model may show strong discrimination in a development dataset and still fail in practice because patient populations, equipment, documentation habits, disease prevalence or clinical protocols differ. The FDA's current AI-enabled medical device list is evidence that AI is already present in regulated medical products, while FDA discussions of real-world performance emphasize monitoring for performance drift after deployment. This is a major strategic shift: validation is no longer a single event at the time of model creation.</w:t>
        <w:br/>
        <w:br/>
        <w:t>India has a strong reason to develop this capability because AI can potentially support diagnostics, surveillance, research and service delivery across a large and diverse health system. NITI Aayog's Healthcare AI Catalyst pilot studied an AI-based clinical decision-support pathway in Indian healthcare settings. However, India also has substantial variation in language, infrastructure, population characteristics and access to specialist care. An AI system validated only in a highly resourced tertiary center cannot automatically be assumed to work in primary-care or rural settings.</w:t>
        <w:br/>
        <w:br/>
        <w:t>For healthcare students, including pharmacy students, this means AI literacy should extend beyond learning how models work. A future professional should be able to identify the clinical problem, understand the data, interpret model metrics, recognize bias and uncertainty, evaluate evidence, understand privacy obligations and participate in safe implementation. This integrated perspective is the foundation of the rest of this whitepaper.</w:t>
      </w:r>
    </w:p>
    <w:p>
      <w:pPr>
        <w:pStyle w:val="Heading1"/>
      </w:pPr>
      <w:r>
        <w:t>2. Emerging Trends and Innovation</w:t>
      </w:r>
    </w:p>
    <w:p>
      <w:r>
        <w:t>The first major trend is generative and multimodal AI. Large multimodal models can process combinations of text, images and other inputs and generate varied outputs. In healthcare, they may support clinical documentation, medical education, information retrieval, research assistance and patient communication. Their major limitation is that fluent output does not guarantee factual correctness. Systems therefore need grounding, source verification and human review.</w:t>
        <w:br/>
        <w:br/>
        <w:t>The second trend is agentic AI. An agent can plan and execute a sequence of actions instead of merely answering a question. A safe early application could be administrative coordination, such as gathering information and preparing a draft task list. The risk rises when the agent can change medication orders, communicate clinical decisions or trigger patient-facing actions. Least-privilege permissions, approval gates, transaction limits and audit trails should therefore be mandatory for consequential workflows.</w:t>
        <w:br/>
        <w:br/>
        <w:t>Third, AI-enabled medical devices are becoming a mature category. The FDA public list contains devices across specialties, including radiology, ophthalmology, cardiovascular medicine and neurology. IDx-DR received FDA De Novo classification in 2018 for diabetic-retinopathy detection, showing that focused AI functions can enter a formal medical-device pathway.</w:t>
        <w:br/>
        <w:br/>
        <w:t>Fourth, precision medicine and genomics will combine clinical data with molecular information. Fifth, AI drug discovery is moving from virtual experiments toward clinical development, illustrated by rentosertib. Sixth, federated and privacy-preserving AI may allow institutions to collaborate without centralizing raw patient data. Seventh, synthetic data may help software testing but must be checked for privacy and distribution differences. Eighth, wearables and ambient sensors can provide longitudinal signals. Ninth, digital twins may eventually support simulation of treatment strategies. Tenth, robotics and embodied AI will move algorithms into physical tasks.</w:t>
        <w:br/>
        <w:br/>
        <w:t>The strategic pattern across these trends is consistent: capability is increasing, but evidence requirements must increase with it. The most valuable innovations will be those with a clearly defined problem, measurable outcomes, appropriate governance and a realistic path from research to safe deployment.</w:t>
      </w:r>
    </w:p>
    <w:p>
      <w:pPr>
        <w:pStyle w:val="Heading1"/>
      </w:pPr>
      <w:r>
        <w:t>3. Real-World Case Study: AI for Sepsis</w:t>
      </w:r>
    </w:p>
    <w:p>
      <w:r>
        <w:t>Sepsis is an especially useful example because the clinical value of AI depends on timing, workflow and action. The TREWS prospective multi-site study in Nature Medicine analyzed 6,877 patients with sepsis who were identified by the alert before antibiotic therapy. Among patients whose alert was confirmed by a provider within three hours, the study reported an adjusted absolute reduction in in-hospital mortality of 3.3% and an adjusted relative reduction of 18.7%, along with reductions in organ failure and length of stay. The important lesson is that the AI system was evaluated in a clinical process: an alert had to be reviewed and acted upon.</w:t>
        <w:br/>
        <w:br/>
        <w:t>A second example is the Lausanne Sepsis Learning Health System. The system combined an AI algorithm with a standardized clinical pathway and dashboards. The published analysis involved 97,559 stays in wards using the system and 25,851 stays in control wards. Mortality decreased for AI-flagged sepsis in the intervention wards, whereas the control wards did not show the same change. This is an example of a learning-health-system model rather than a standalone algorithm.</w:t>
        <w:br/>
        <w:br/>
        <w:t>These studies demonstrate why Healthcare AI should be evaluated as a sociotechnical system. Model sensitivity is only one component. A useful sepsis program should measure sensitivity, specificity, positive predictive value, time-to-alert, alert burden, provider confirmation, time-to-antibiotics, ICU transfer, organ failure, mortality and subgroup performance. The evaluation should also measure whether the system creates alert fatigue or changes clinician behavior in undesirable ways.</w:t>
        <w:br/>
        <w:br/>
        <w:t>A realistic future implementation would use three stages. First, retrospective validation on governed data. Second, silent prospective evaluation in which the model generates predictions without influencing care. Third, controlled deployment with human oversight and continuous monitoring. A predefined stop rule should exist if false alerts, subgroup disparities or safety incidents exceed acceptable limits.</w:t>
        <w:br/>
        <w:br/>
        <w:t>The broader lesson is transferable to other healthcare AI applications: the algorithm should be evaluated together with the workflow in which it operates. Clinical AI succeeds when a prediction becomes a timely, appropriate and measurable improvement in care.</w:t>
      </w:r>
    </w:p>
    <w:p>
      <w:pPr>
        <w:pStyle w:val="Heading1"/>
      </w:pPr>
      <w:r>
        <w:t>4. Real-World Case Study: Imaging and Diabetic Retinopathy</w:t>
      </w:r>
    </w:p>
    <w:p>
      <w:r>
        <w:t>Medical imaging is one of the strongest areas for Healthcare AI because digital images can be analyzed using reproducible computational methods. The FDA's AI-enabled medical-device list demonstrates that AI-supported imaging is already present in regulated products. The key strategic issue is not whether an algorithm can classify an image, but whether the complete workflow improves diagnostic capacity without introducing unacceptable error.</w:t>
        <w:br/>
        <w:br/>
        <w:t>Diabetic retinopathy provides a concrete example. IDx-DR received FDA De Novo classification on 11 April 2018 as a diabetic-retinopathy detection device. FDA describes the product category as software that analyzes digital fundus images to identify referable retinopathy. This example illustrates how a focused screening task can be separated from broader diagnostic or treatment decisions. It also shows why intended use is critical when defining evidence requirements.</w:t>
        <w:br/>
        <w:br/>
        <w:t>CheXpert provides a real medical-data example for chest radiography research. Stanford AIMI reports 224,316 chest radiographs from 65,240 patients at Stanford Health Care, together with radiology reports. Such datasets can support development and benchmarking of chest-X-ray models, but a benchmark result should not be mistaken for clinical validation. Differences in scanners, image protocols, patient populations and disease prevalence can change performance after deployment.</w:t>
        <w:br/>
        <w:br/>
        <w:t>A high-quality imaging AI evaluation should therefore report sensitivity and specificity at clinically meaningful thresholds, AUROC or AUPRC where appropriate, calibration, subgroup performance, image-quality failure rates and workflow effects. It should also define an 'ungradable' pathway so that poor-quality images do not produce false reassurance. External validation on another institution is particularly important.</w:t>
        <w:br/>
        <w:br/>
        <w:t>For a pharmacy or healthcare AI strategy, imaging also illustrates the value of task-specific AI. A system that screens retinal images for referable disease may be safer to evaluate than a general system that attempts to diagnose every ophthalmic condition. The future should favor narrow, well-validated clinical functions when they provide measurable value, while preserving professional accountability for broader decisions.</w:t>
      </w:r>
    </w:p>
    <w:p>
      <w:pPr>
        <w:pStyle w:val="Heading1"/>
      </w:pPr>
      <w:r>
        <w:t>5. Real-World Case Study: AI Drug Discovery</w:t>
      </w:r>
    </w:p>
    <w:p>
      <w:r>
        <w:t>AI is increasingly used in pharmaceutical research to prioritize biological targets, generate candidate molecules, predict properties and optimize chemical structures. The strongest evidence of progress is not a generated molecule on a computer screen but a candidate that survives biological experiments and enters clinical testing. Rentosertib, formerly INS018_055, provides a useful example.</w:t>
        <w:br/>
        <w:br/>
        <w:t>A Nature Biotechnology report described an AI-driven discovery process for a TNIK inhibitor intended for idiopathic pulmonary fibrosis. The authors reported that target discovery to preclinical candidate nomination took roughly 18 months and described phase I safety and pharmacokinetic evaluation involving 78 healthy participants. The program then progressed to a randomized phase 2a trial.</w:t>
        <w:br/>
        <w:br/>
        <w:t>The Nature Medicine phase 2a study enrolled 71 adults with idiopathic pulmonary fibrosis across 21 sites in China. Participants were randomized to placebo or different rentosertib dose groups for 12 weeks. The primary endpoint focused on treatment-emergent adverse events. For the 60-mg once-daily group, mean forced vital capacity change was +98.4 mL compared with −20.3 mL in the placebo group. The study authors concluded that the findings warranted larger and longer trials. These results are promising but should be interpreted within the limitations of a relatively small phase 2a study and should not be generalized to all AI-discovered drugs.</w:t>
        <w:br/>
        <w:br/>
        <w:t>This case illustrates the correct role of AI in pharmaceutical innovation. AI can accelerate hypothesis generation and chemical search, but pharmacology, toxicology, manufacturing, clinical trials and regulatory evidence remain necessary. Future pharmaceutical-AI KPIs should therefore include target-validation rate, experimental confirmation rate, candidate quality, time from target to lead, toxicity prediction performance, phase-transition rates, recruitment efficiency and patient-centered clinical outcomes.</w:t>
        <w:br/>
        <w:br/>
        <w:t>For pharmacy professionals, this is particularly relevant. AI can support medicinal chemistry, pharmacovigilance, formulation research and clinical-trial analytics, but domain expertise remains necessary to interpret mechanisms, safety signals and therapeutic relevance. AI should accelerate scientific reasoning, not replace it.</w:t>
      </w:r>
    </w:p>
    <w:p>
      <w:pPr>
        <w:pStyle w:val="Heading1"/>
      </w:pPr>
      <w:r>
        <w:t>6. Real Medical Data and Validation Strategy</w:t>
      </w:r>
    </w:p>
    <w:p>
      <w:r>
        <w:t>A serious Healthcare AI project must distinguish between real patient data, published study results and illustrative examples. This project intentionally does not invent patient-level measurements. Instead, it references established medical datasets and published clinical studies and explains how they could be used in a future validation pipeline.</w:t>
        <w:br/>
        <w:br/>
        <w:t>MIMIC-IV version 3.0 contains 364,627 unique individuals, 546,028 hospitalizations and 94,458 ICU stays. It includes hospital-wide EHR data and ICU information such as laboratory measurements, medication administration, procedures and charted events. Access is credentialed and governed by a data-use agreement. This makes MIMIC-IV valuable for clinical informatics research but inappropriate for casual redistribution or unapproved use.</w:t>
        <w:br/>
        <w:br/>
        <w:t>CheXpert contains 224,316 chest radiographs from 65,240 patients, with associated radiology reports. It is a major research benchmark for chest-X-ray machine learning. Again, benchmark use should follow the dataset's terms and should not be confused with external clinical validation.</w:t>
        <w:br/>
        <w:br/>
        <w:t>The proposed validation pipeline has three evidence layers. Layer 1 is retrospective development and internal validation using appropriately governed data. Layer 2 is external validation using a different institution, time period or population. Layer 3 is prospective real-world evaluation, ideally beginning with silent testing before clinical influence. The final evaluation should examine clinical outcomes and operational consequences, not just model metrics.</w:t>
        <w:br/>
        <w:br/>
        <w:t>Medical data also contain real-world imperfections. Missing laboratory values may reflect clinical decisions rather than random missingness. Documentation changes can create temporal drift. Coding practices differ between hospitals. Selection bias can occur when only ICU patients are studied. Image quality and scanner differences can affect imaging models. Therefore, data preprocessing, leakage prevention, subgroup analysis, calibration and sensitivity analysis are essential.</w:t>
        <w:br/>
        <w:br/>
        <w:t>This data strategy makes the project realistic without pretending that restricted clinical records were directly analyzed. It demonstrates an understanding of how professional Healthcare AI research should handle medical evidence, privacy and validation.</w:t>
      </w:r>
    </w:p>
    <w:p>
      <w:pPr>
        <w:pStyle w:val="Heading1"/>
      </w:pPr>
      <w:r>
        <w:t>7. Ethics, Safety, Privacy and Cybersecurity</w:t>
      </w:r>
    </w:p>
    <w:p>
      <w:r>
        <w:t>Healthcare AI creates risks that are different from those in many consumer applications because errors can affect health, autonomy and access. WHO's guidance on large multimodal models identifies risks including false or incomplete outputs, biased data, automation bias and cybersecurity concerns. These risks should be addressed during design rather than after deployment.</w:t>
        <w:br/>
        <w:br/>
        <w:t>Bias can enter through data collection, labels, clinical practice patterns or model optimization. A model can show excellent overall performance while performing poorly for a smaller subgroup. Fairness evaluation should therefore be planned before testing and should report uncertainty when subgroup sample sizes are small. The objective is not to force every metric to be identical, but to identify clinically important disparities and understand their causes.</w:t>
        <w:br/>
        <w:br/>
        <w:t>Privacy is equally important. Health records, images, genomic information and medication histories are sensitive. AI systems should use data minimization, access controls, encryption, audit logs and clear retention rules. External AI services should have explicit contractual rules for data handling. Privacy-preserving approaches such as federated evaluation may reduce the need to centralize raw clinical data.</w:t>
        <w:br/>
        <w:br/>
        <w:t>Cybersecurity becomes more complex when AI can access clinical systems or execute actions. Agentic AI should operate with least-privilege permissions and explicit approval gates. All consequential actions should be logged and reversible where feasible. A model should not have unrestricted authority simply because it can technically perform an action.</w:t>
        <w:br/>
        <w:br/>
        <w:t>Safety also requires transparency. Users should know the intended use, limitations, uncertainty and failure modes. A clinician should be able to override an AI recommendation without excessive friction. Patients should have appropriate communication about AI involvement when it materially affects their care.</w:t>
        <w:br/>
        <w:br/>
        <w:t>NIST's AI Risk Management Framework provides a structured approach for managing trustworthy AI characteristics such as validity, safety, security, accountability, transparency, explainability, privacy and fairness. For healthcare, these principles should be integrated with clinical governance and patient-safety processes. Responsible AI is therefore not a single ethics section in a report; it is a continuous operational function.</w:t>
      </w:r>
    </w:p>
    <w:p>
      <w:pPr>
        <w:pStyle w:val="Heading1"/>
      </w:pPr>
      <w:r>
        <w:t>8. Regulatory and Policy Landscape</w:t>
      </w:r>
    </w:p>
    <w:p>
      <w:r>
        <w:t>Healthcare AI regulation is becoming more structured while technology continues to evolve rapidly. The U.S. FDA maintains an AI-enabled medical device list and explains that devices included have met applicable premarket requirements. The list is not comprehensive and is updated periodically. In 2026, FDA has also been seeking input on generative-AI-enabled medical devices and on real-world performance evaluation, including performance drift. This indicates that regulators are increasingly concerned not only with premarket performance but also with what happens after deployment.</w:t>
        <w:br/>
        <w:br/>
        <w:t>The European Union's AI Act introduces a risk-based framework with phased application dates. Healthcare organizations should map each use case to the applicable AI Act requirements rather than treating the law as one universal deadline. Medical-device-related AI may also intersect with other European regulatory frameworks, so product-specific legal review is necessary.</w:t>
        <w:br/>
        <w:br/>
        <w:t>India's Digital Personal Data Protection Act 2023 and DPDP Rules 2025 are important for healthcare because AI systems may process highly sensitive personal information. The practical message is that privacy and security should be built into data architecture, procurement and workflow design. Healthcare organizations should document purpose, access, sharing, retention and safeguards rather than treating privacy as a final compliance step.</w:t>
        <w:br/>
        <w:br/>
        <w:t>WHO provides international guidance emphasizing safety, equity, human rights and stakeholder engagement. NIST's AI RMF provides a voluntary operational framework for identifying and managing AI risks. These sources complement jurisdiction-specific regulation.</w:t>
        <w:br/>
        <w:br/>
        <w:t>A professional organization should maintain an AI regulatory register containing intended use, risk category, evidence status, regulatory pathway, data sources, vendor version and post-market monitoring responsibilities. Model updates should trigger change assessment. A system that was safe under one version may require revalidation after a major model or data-pipeline change.</w:t>
        <w:br/>
        <w:br/>
        <w:t>The regulatory direction supports the same principle as the clinical evidence section: AI is not a one-time software purchase. It is a lifecycle-managed technology. Future-ready organizations will integrate regulatory review, clinical validation, privacy, cybersecurity and post-deployment monitoring into a single governance process.</w:t>
      </w:r>
    </w:p>
    <w:p>
      <w:pPr>
        <w:pStyle w:val="Heading1"/>
      </w:pPr>
      <w:r>
        <w:t>9. Market Readiness and Stakeholder Strategy</w:t>
      </w:r>
    </w:p>
    <w:p>
      <w:r>
        <w:t>Market readiness should be judged by evidence and organizational capacity rather than by model novelty. This whitepaper proposes five dimensions: technical maturity, clinical evidence, regulatory readiness, operational readiness and trust readiness. Technical maturity asks whether the system works reliably for its intended task. Clinical evidence asks whether performance translates into meaningful benefit. Regulatory readiness asks whether applicable authorization and compliance requirements have been addressed. Operational readiness covers interoperability, staffing, training, workflow and cybersecurity. Trust readiness covers transparency, privacy, fairness and human oversight.</w:t>
        <w:br/>
        <w:br/>
        <w:t>A four-stage adoption model can be used: Explore, Validate, Controlled Deploy and Scale. Explore-stage technologies are research opportunities. Validate-stage technologies have a clearly defined use case and need external or prospective testing. Controlled Deploy means use in a bounded setting with monitoring and human oversight. Scale means evidence has been demonstrated across relevant settings and governance is mature. These are strategic planning stages, not official regulatory categories.</w:t>
        <w:br/>
        <w:br/>
        <w:t>Stakeholder responsibilities must be explicit. Patients need understandable disclosure, privacy protection and feedback pathways. Clinicians and pharmacists should participate in co-design, validation and monitoring and retain meaningful override authority. Hospitals should establish multidisciplinary AI governance committees. Developers should provide intended-use statements, documentation, subgroup testing, security controls and audit trails. Researchers should prioritize external validation and reproducibility. Pharmaceutical companies should connect AI-generated hypotheses to laboratory and clinical validation. Regulators and policy makers should encourage innovation while maintaining safety and accountability.</w:t>
        <w:br/>
        <w:br/>
        <w:t>Procurement should require evidence, not marketing claims. Contracts should address data handling, security, model changes, uptime, interoperability, monitoring and exit/portability. A system should also have a defined stop criterion. If safety, fairness or effectiveness falls below predefined thresholds, the organization should be able to pause, redesign or retire it.</w:t>
        <w:br/>
        <w:br/>
        <w:t>This market-readiness model helps healthcare organizations move from 'AI adoption' to 'evidence-based technology management'.</w:t>
      </w:r>
    </w:p>
    <w:p>
      <w:pPr>
        <w:pStyle w:val="Heading1"/>
      </w:pPr>
      <w:r>
        <w:t>10. Five-Year Roadmap and KPI Framework</w:t>
      </w:r>
    </w:p>
    <w:p>
      <w:r>
        <w:t>The first six months should focus on governance: create an AI inventory, assign accountable owners, classify use cases by risk, map data flows, establish incident response and create procurement requirements. Months 6–12 should focus on measurement. Every pilot should define a baseline, primary outcome, safety outcomes, subgroup metrics, calibration approach and monitoring plan before deployment.</w:t>
        <w:br/>
        <w:br/>
        <w:t>Months 12–24 should be the controlled-pilot phase. Prospective or silent evaluation should test whether the model performs in the target workflow. Where possible, the AI-supported workflow should be compared with the existing standard of care. Months 24–36 can focus on scaling validated systems, improving interoperability and implementing drift monitoring. Months 36–60 can support advanced technologies such as multimodal systems, constrained agentic workflows, precision medicine and selected digital-twin applications, but only after stronger evidence gates.</w:t>
        <w:br/>
        <w:br/>
        <w:t>The KPI framework should be tied to the use case. Screening systems may require sensitivity, specificity and false-negative rate. Risk prediction may require AUROC, AUPRC and calibration. Early-warning systems should include time-to-alert, alert burden and downstream clinical outcomes. Generative AI should be evaluated for factuality, groundedness, hallucination rate, unsafe output rate and human acceptance. Operational KPIs should include latency, uptime, workflow time and override rate. Safety KPIs should include incidents and near misses. Fairness KPIs should compare clinically relevant outcomes across predefined subgroups.</w:t>
        <w:br/>
        <w:br/>
        <w:t>The most important KPI is not a universal accuracy number. It is whether the system improves the defined healthcare problem without introducing unacceptable risk. FDA's work on real-world performance and WHO's emphasis on evidence-based AI adoption support this lifecycle approach.</w:t>
        <w:br/>
        <w:br/>
        <w:t>A strong roadmap also requires stop criteria. Repeated safety incidents, unexplained performance drift, unacceptable subgroup disparities, security compromise or major unvalidated model changes should trigger review or suspension. This makes the strategy realistic, measurable and accountable.</w:t>
      </w:r>
    </w:p>
    <w:p>
      <w:pPr>
        <w:pStyle w:val="Heading1"/>
      </w:pPr>
      <w:r>
        <w:t>11. Conclusion and Future Outlook</w:t>
      </w:r>
    </w:p>
    <w:p>
      <w:r>
        <w:t>Healthcare AI is likely to become embedded across clinical care, research and health-system operations. The most important future development may not be a single larger model but a better ecosystem connecting data, algorithms, clinicians, patients, regulation and continuous evaluation. The real-world examples in this report demonstrate that AI can already participate in sepsis detection, medical imaging, regulated screening and pharmaceutical discovery. They also demonstrate that evidence is essential: sepsis studies measured patient and workflow outcomes, the rentosertib program progressed through clinical trials, and regulated medical devices passed specific regulatory pathways.</w:t>
        <w:br/>
        <w:br/>
        <w:t>The future should therefore be human-centred augmentation rather than uncontrolled automation. AI can process information, identify patterns and generate hypotheses, while professionals retain responsibility for consequential clinical decisions. As AI becomes more capable, the need for evaluation becomes greater rather than smaller. A system should be monitored after deployment because patient populations, workflows, software versions and data distributions change.</w:t>
        <w:br/>
        <w:br/>
        <w:t>For India, the opportunity is especially important because AI could support specialist access, screening, research and healthcare operations at scale. But scale also increases the importance of privacy, fairness, language coverage, infrastructure and clinical validation across diverse populations. A model developed in one tertiary hospital cannot automatically be generalized to every setting.</w:t>
        <w:br/>
        <w:br/>
        <w:t>The final strategic principle is evidence before scale. Every AI project should answer five questions: What problem are we solving? What is the baseline? What evidence demonstrates benefit? What can go wrong? How will we know if the system stops working? Organizations that can answer these questions will be better positioned to adopt emerging technologies responsibly.</w:t>
        <w:br/>
        <w:br/>
        <w:t>The future-ready healthcare organization will not simply have more AI. It will have stronger systems for choosing appropriate use cases, generating clinical evidence, protecting data, managing risk, monitoring performance and involving patients and professionals. That is the foundation for sustainable Healthcare AI innovation over the next five years and beyond.</w:t>
      </w:r>
    </w:p>
    <w:p>
      <w:pPr>
        <w:pStyle w:val="Heading1"/>
      </w:pPr>
      <w:r>
        <w:t>12. Real-World Evidence Portfolio</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sz w:val="15"/>
              </w:rPr>
              <w:t>Real-world example</w:t>
            </w:r>
          </w:p>
        </w:tc>
        <w:tc>
          <w:tcPr>
            <w:tcW w:type="dxa" w:w="2556"/>
          </w:tcPr>
          <w:p>
            <w:r>
              <w:rPr>
                <w:b/>
                <w:sz w:val="15"/>
              </w:rPr>
              <w:t>Published data/finding</w:t>
            </w:r>
          </w:p>
        </w:tc>
        <w:tc>
          <w:tcPr>
            <w:tcW w:type="dxa" w:w="2556"/>
          </w:tcPr>
          <w:p>
            <w:r>
              <w:rPr>
                <w:b/>
                <w:sz w:val="15"/>
              </w:rPr>
              <w:t>Source</w:t>
            </w:r>
          </w:p>
        </w:tc>
        <w:tc>
          <w:tcPr>
            <w:tcW w:type="dxa" w:w="2556"/>
          </w:tcPr>
          <w:p>
            <w:r>
              <w:rPr>
                <w:b/>
                <w:sz w:val="15"/>
              </w:rPr>
              <w:t>URL</w:t>
            </w:r>
          </w:p>
        </w:tc>
      </w:tr>
      <w:tr>
        <w:tc>
          <w:tcPr>
            <w:tcW w:type="dxa" w:w="2556"/>
          </w:tcPr>
          <w:p>
            <w:r>
              <w:rPr>
                <w:sz w:val="14"/>
              </w:rPr>
              <w:t>TREWS sepsis AI</w:t>
            </w:r>
          </w:p>
        </w:tc>
        <w:tc>
          <w:tcPr>
            <w:tcW w:type="dxa" w:w="2556"/>
          </w:tcPr>
          <w:p>
            <w:r>
              <w:rPr>
                <w:sz w:val="14"/>
              </w:rPr>
              <w:t>6,877 sepsis patients; provider confirmation within 3 h was associated with 3.3% adjusted absolute and 18.7% adjusted relative mortality reduction</w:t>
            </w:r>
          </w:p>
        </w:tc>
        <w:tc>
          <w:tcPr>
            <w:tcW w:type="dxa" w:w="2556"/>
          </w:tcPr>
          <w:p>
            <w:r>
              <w:rPr>
                <w:sz w:val="14"/>
              </w:rPr>
              <w:t>Nature Medicine 2022</w:t>
            </w:r>
          </w:p>
        </w:tc>
        <w:tc>
          <w:tcPr>
            <w:tcW w:type="dxa" w:w="2556"/>
          </w:tcPr>
          <w:p>
            <w:r>
              <w:rPr>
                <w:sz w:val="14"/>
              </w:rPr>
              <w:t>https://www.nature.com/articles/s41591-022-01894-0</w:t>
            </w:r>
          </w:p>
        </w:tc>
      </w:tr>
      <w:tr>
        <w:tc>
          <w:tcPr>
            <w:tcW w:type="dxa" w:w="2556"/>
          </w:tcPr>
          <w:p>
            <w:r>
              <w:rPr>
                <w:sz w:val="14"/>
              </w:rPr>
              <w:t>Lausanne sepsis learning system</w:t>
            </w:r>
          </w:p>
        </w:tc>
        <w:tc>
          <w:tcPr>
            <w:tcW w:type="dxa" w:w="2556"/>
          </w:tcPr>
          <w:p>
            <w:r>
              <w:rPr>
                <w:sz w:val="14"/>
              </w:rPr>
              <w:t>97,559 intervention-ward stays vs 25,851 control-ward stays; mortality decreased for AI-flagged sepsis in intervention wards</w:t>
            </w:r>
          </w:p>
        </w:tc>
        <w:tc>
          <w:tcPr>
            <w:tcW w:type="dxa" w:w="2556"/>
          </w:tcPr>
          <w:p>
            <w:r>
              <w:rPr>
                <w:sz w:val="14"/>
              </w:rPr>
              <w:t>npj Digital Medicine 2025</w:t>
            </w:r>
          </w:p>
        </w:tc>
        <w:tc>
          <w:tcPr>
            <w:tcW w:type="dxa" w:w="2556"/>
          </w:tcPr>
          <w:p>
            <w:r>
              <w:rPr>
                <w:sz w:val="14"/>
              </w:rPr>
              <w:t>https://www.nature.com/articles/s41746-025-02180-2</w:t>
            </w:r>
          </w:p>
        </w:tc>
      </w:tr>
      <w:tr>
        <w:tc>
          <w:tcPr>
            <w:tcW w:type="dxa" w:w="2556"/>
          </w:tcPr>
          <w:p>
            <w:r>
              <w:rPr>
                <w:sz w:val="14"/>
              </w:rPr>
              <w:t>Rentosertib AI drug discovery</w:t>
            </w:r>
          </w:p>
        </w:tc>
        <w:tc>
          <w:tcPr>
            <w:tcW w:type="dxa" w:w="2556"/>
          </w:tcPr>
          <w:p>
            <w:r>
              <w:rPr>
                <w:sz w:val="14"/>
              </w:rPr>
              <w:t>71-patient randomized phase 2a; 60 mg QD mean FVC change +98.4 mL vs -20.3 mL placebo</w:t>
            </w:r>
          </w:p>
        </w:tc>
        <w:tc>
          <w:tcPr>
            <w:tcW w:type="dxa" w:w="2556"/>
          </w:tcPr>
          <w:p>
            <w:r>
              <w:rPr>
                <w:sz w:val="14"/>
              </w:rPr>
              <w:t>Nature Medicine 2025</w:t>
            </w:r>
          </w:p>
        </w:tc>
        <w:tc>
          <w:tcPr>
            <w:tcW w:type="dxa" w:w="2556"/>
          </w:tcPr>
          <w:p>
            <w:r>
              <w:rPr>
                <w:sz w:val="14"/>
              </w:rPr>
              <w:t>https://www.nature.com/articles/s41591-025-03743-2</w:t>
            </w:r>
          </w:p>
        </w:tc>
      </w:tr>
      <w:tr>
        <w:tc>
          <w:tcPr>
            <w:tcW w:type="dxa" w:w="2556"/>
          </w:tcPr>
          <w:p>
            <w:r>
              <w:rPr>
                <w:sz w:val="14"/>
              </w:rPr>
              <w:t>Rentosertib development</w:t>
            </w:r>
          </w:p>
        </w:tc>
        <w:tc>
          <w:tcPr>
            <w:tcW w:type="dxa" w:w="2556"/>
          </w:tcPr>
          <w:p>
            <w:r>
              <w:rPr>
                <w:sz w:val="14"/>
              </w:rPr>
              <w:t>AI-driven target discovery to preclinical candidate nomination reported in ~18 months; phase I included 78 healthy participants</w:t>
            </w:r>
          </w:p>
        </w:tc>
        <w:tc>
          <w:tcPr>
            <w:tcW w:type="dxa" w:w="2556"/>
          </w:tcPr>
          <w:p>
            <w:r>
              <w:rPr>
                <w:sz w:val="14"/>
              </w:rPr>
              <w:t>Nature Biotechnology 2024</w:t>
            </w:r>
          </w:p>
        </w:tc>
        <w:tc>
          <w:tcPr>
            <w:tcW w:type="dxa" w:w="2556"/>
          </w:tcPr>
          <w:p>
            <w:r>
              <w:rPr>
                <w:sz w:val="14"/>
              </w:rPr>
              <w:t>https://www.nature.com/articles/s41587-024-02143-0</w:t>
            </w:r>
          </w:p>
        </w:tc>
      </w:tr>
      <w:tr>
        <w:tc>
          <w:tcPr>
            <w:tcW w:type="dxa" w:w="2556"/>
          </w:tcPr>
          <w:p>
            <w:r>
              <w:rPr>
                <w:sz w:val="14"/>
              </w:rPr>
              <w:t>AlphaFold DB</w:t>
            </w:r>
          </w:p>
        </w:tc>
        <w:tc>
          <w:tcPr>
            <w:tcW w:type="dxa" w:w="2556"/>
          </w:tcPr>
          <w:p>
            <w:r>
              <w:rPr>
                <w:sz w:val="14"/>
              </w:rPr>
              <w:t>&gt;200 million protein structure predictions available</w:t>
            </w:r>
          </w:p>
        </w:tc>
        <w:tc>
          <w:tcPr>
            <w:tcW w:type="dxa" w:w="2556"/>
          </w:tcPr>
          <w:p>
            <w:r>
              <w:rPr>
                <w:sz w:val="14"/>
              </w:rPr>
              <w:t>EMBL-EBI</w:t>
            </w:r>
          </w:p>
        </w:tc>
        <w:tc>
          <w:tcPr>
            <w:tcW w:type="dxa" w:w="2556"/>
          </w:tcPr>
          <w:p>
            <w:r>
              <w:rPr>
                <w:sz w:val="14"/>
              </w:rPr>
              <w:t>https://www.ebi.ac.uk/about/news/technology-and-innovation/alphafold-200-million/</w:t>
            </w:r>
          </w:p>
        </w:tc>
      </w:tr>
      <w:tr>
        <w:tc>
          <w:tcPr>
            <w:tcW w:type="dxa" w:w="2556"/>
          </w:tcPr>
          <w:p>
            <w:r>
              <w:rPr>
                <w:sz w:val="14"/>
              </w:rPr>
              <w:t>CheXpert</w:t>
            </w:r>
          </w:p>
        </w:tc>
        <w:tc>
          <w:tcPr>
            <w:tcW w:type="dxa" w:w="2556"/>
          </w:tcPr>
          <w:p>
            <w:r>
              <w:rPr>
                <w:sz w:val="14"/>
              </w:rPr>
              <w:t>224,316 chest radiographs from 65,240 patients</w:t>
            </w:r>
          </w:p>
        </w:tc>
        <w:tc>
          <w:tcPr>
            <w:tcW w:type="dxa" w:w="2556"/>
          </w:tcPr>
          <w:p>
            <w:r>
              <w:rPr>
                <w:sz w:val="14"/>
              </w:rPr>
              <w:t>Stanford AIMI</w:t>
            </w:r>
          </w:p>
        </w:tc>
        <w:tc>
          <w:tcPr>
            <w:tcW w:type="dxa" w:w="2556"/>
          </w:tcPr>
          <w:p>
            <w:r>
              <w:rPr>
                <w:sz w:val="14"/>
              </w:rPr>
              <w:t>https://aimi.stanford.edu/datasets/chexpert-chest-x-rays</w:t>
            </w:r>
          </w:p>
        </w:tc>
      </w:tr>
      <w:tr>
        <w:tc>
          <w:tcPr>
            <w:tcW w:type="dxa" w:w="2556"/>
          </w:tcPr>
          <w:p>
            <w:r>
              <w:rPr>
                <w:sz w:val="14"/>
              </w:rPr>
              <w:t>MIMIC-IV v3.0</w:t>
            </w:r>
          </w:p>
        </w:tc>
        <w:tc>
          <w:tcPr>
            <w:tcW w:type="dxa" w:w="2556"/>
          </w:tcPr>
          <w:p>
            <w:r>
              <w:rPr>
                <w:sz w:val="14"/>
              </w:rPr>
              <w:t>364,627 individuals; 546,028 hospitalizations; 94,458 ICU stays</w:t>
            </w:r>
          </w:p>
        </w:tc>
        <w:tc>
          <w:tcPr>
            <w:tcW w:type="dxa" w:w="2556"/>
          </w:tcPr>
          <w:p>
            <w:r>
              <w:rPr>
                <w:sz w:val="14"/>
              </w:rPr>
              <w:t>PhysioNet</w:t>
            </w:r>
          </w:p>
        </w:tc>
        <w:tc>
          <w:tcPr>
            <w:tcW w:type="dxa" w:w="2556"/>
          </w:tcPr>
          <w:p>
            <w:r>
              <w:rPr>
                <w:sz w:val="14"/>
              </w:rPr>
              <w:t>https://physionet.org/content/mimiciv/3.0/</w:t>
            </w:r>
          </w:p>
        </w:tc>
      </w:tr>
      <w:tr>
        <w:tc>
          <w:tcPr>
            <w:tcW w:type="dxa" w:w="2556"/>
          </w:tcPr>
          <w:p>
            <w:r>
              <w:rPr>
                <w:sz w:val="14"/>
              </w:rPr>
              <w:t>IDx-DR</w:t>
            </w:r>
          </w:p>
        </w:tc>
        <w:tc>
          <w:tcPr>
            <w:tcW w:type="dxa" w:w="2556"/>
          </w:tcPr>
          <w:p>
            <w:r>
              <w:rPr>
                <w:sz w:val="14"/>
              </w:rPr>
              <w:t>FDA De Novo classification granted 11 April 2018 for diabetic-retinopathy detection device</w:t>
            </w:r>
          </w:p>
        </w:tc>
        <w:tc>
          <w:tcPr>
            <w:tcW w:type="dxa" w:w="2556"/>
          </w:tcPr>
          <w:p>
            <w:r>
              <w:rPr>
                <w:sz w:val="14"/>
              </w:rPr>
              <w:t>FDA</w:t>
            </w:r>
          </w:p>
        </w:tc>
        <w:tc>
          <w:tcPr>
            <w:tcW w:type="dxa" w:w="2556"/>
          </w:tcPr>
          <w:p>
            <w:r>
              <w:rPr>
                <w:sz w:val="14"/>
              </w:rPr>
              <w:t>https://www.accessdata.fda.gov/scripts/cdrh/cfdocs/cfPMN/denovo.cfm?ID=DEN180001</w:t>
            </w:r>
          </w:p>
        </w:tc>
      </w:tr>
    </w:tbl>
    <w:p>
      <w:pPr>
        <w:pStyle w:val="Heading1"/>
      </w:pPr>
      <w:r>
        <w:t>13. Real Medical Dataset Plan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5"/>
              </w:rPr>
              <w:t>Dataset</w:t>
            </w:r>
          </w:p>
        </w:tc>
        <w:tc>
          <w:tcPr>
            <w:tcW w:type="dxa" w:w="1704"/>
          </w:tcPr>
          <w:p>
            <w:r>
              <w:rPr>
                <w:b/>
                <w:sz w:val="15"/>
              </w:rPr>
              <w:t>Type</w:t>
            </w:r>
          </w:p>
        </w:tc>
        <w:tc>
          <w:tcPr>
            <w:tcW w:type="dxa" w:w="1704"/>
          </w:tcPr>
          <w:p>
            <w:r>
              <w:rPr>
                <w:b/>
                <w:sz w:val="15"/>
              </w:rPr>
              <w:t>Scale</w:t>
            </w:r>
          </w:p>
        </w:tc>
        <w:tc>
          <w:tcPr>
            <w:tcW w:type="dxa" w:w="1704"/>
          </w:tcPr>
          <w:p>
            <w:r>
              <w:rPr>
                <w:b/>
                <w:sz w:val="15"/>
              </w:rPr>
              <w:t>Access</w:t>
            </w:r>
          </w:p>
        </w:tc>
        <w:tc>
          <w:tcPr>
            <w:tcW w:type="dxa" w:w="1704"/>
          </w:tcPr>
          <w:p>
            <w:r>
              <w:rPr>
                <w:b/>
                <w:sz w:val="15"/>
              </w:rPr>
              <w:t>Use</w:t>
            </w:r>
          </w:p>
        </w:tc>
        <w:tc>
          <w:tcPr>
            <w:tcW w:type="dxa" w:w="1704"/>
          </w:tcPr>
          <w:p>
            <w:r>
              <w:rPr>
                <w:b/>
                <w:sz w:val="15"/>
              </w:rPr>
              <w:t>Source</w:t>
            </w:r>
          </w:p>
        </w:tc>
      </w:tr>
      <w:tr>
        <w:tc>
          <w:tcPr>
            <w:tcW w:type="dxa" w:w="1704"/>
          </w:tcPr>
          <w:p>
            <w:r>
              <w:rPr>
                <w:sz w:val="14"/>
              </w:rPr>
              <w:t>MIMIC-IV v3.0</w:t>
            </w:r>
          </w:p>
        </w:tc>
        <w:tc>
          <w:tcPr>
            <w:tcW w:type="dxa" w:w="1704"/>
          </w:tcPr>
          <w:p>
            <w:r>
              <w:rPr>
                <w:sz w:val="14"/>
              </w:rPr>
              <w:t>EHR/ICU</w:t>
            </w:r>
          </w:p>
        </w:tc>
        <w:tc>
          <w:tcPr>
            <w:tcW w:type="dxa" w:w="1704"/>
          </w:tcPr>
          <w:p>
            <w:r>
              <w:rPr>
                <w:sz w:val="14"/>
              </w:rPr>
              <w:t>364,627 individuals; 546,028 hospitalizations; 94,458 ICU stays</w:t>
            </w:r>
          </w:p>
        </w:tc>
        <w:tc>
          <w:tcPr>
            <w:tcW w:type="dxa" w:w="1704"/>
          </w:tcPr>
          <w:p>
            <w:r>
              <w:rPr>
                <w:sz w:val="14"/>
              </w:rPr>
              <w:t>Credentialed access + DUA</w:t>
            </w:r>
          </w:p>
        </w:tc>
        <w:tc>
          <w:tcPr>
            <w:tcW w:type="dxa" w:w="1704"/>
          </w:tcPr>
          <w:p>
            <w:r>
              <w:rPr>
                <w:sz w:val="14"/>
              </w:rPr>
              <w:t>Clinical prediction / external validation</w:t>
            </w:r>
          </w:p>
        </w:tc>
        <w:tc>
          <w:tcPr>
            <w:tcW w:type="dxa" w:w="1704"/>
          </w:tcPr>
          <w:p>
            <w:r>
              <w:rPr>
                <w:sz w:val="14"/>
              </w:rPr>
              <w:t>https://physionet.org/content/mimiciv/3.0/</w:t>
            </w:r>
          </w:p>
        </w:tc>
      </w:tr>
      <w:tr>
        <w:tc>
          <w:tcPr>
            <w:tcW w:type="dxa" w:w="1704"/>
          </w:tcPr>
          <w:p>
            <w:r>
              <w:rPr>
                <w:sz w:val="14"/>
              </w:rPr>
              <w:t>CheXpert</w:t>
            </w:r>
          </w:p>
        </w:tc>
        <w:tc>
          <w:tcPr>
            <w:tcW w:type="dxa" w:w="1704"/>
          </w:tcPr>
          <w:p>
            <w:r>
              <w:rPr>
                <w:sz w:val="14"/>
              </w:rPr>
              <w:t>Chest radiography</w:t>
            </w:r>
          </w:p>
        </w:tc>
        <w:tc>
          <w:tcPr>
            <w:tcW w:type="dxa" w:w="1704"/>
          </w:tcPr>
          <w:p>
            <w:r>
              <w:rPr>
                <w:sz w:val="14"/>
              </w:rPr>
              <w:t>224,316 radiographs; 65,240 patients</w:t>
            </w:r>
          </w:p>
        </w:tc>
        <w:tc>
          <w:tcPr>
            <w:tcW w:type="dxa" w:w="1704"/>
          </w:tcPr>
          <w:p>
            <w:r>
              <w:rPr>
                <w:sz w:val="14"/>
              </w:rPr>
              <w:t>Research-use terms</w:t>
            </w:r>
          </w:p>
        </w:tc>
        <w:tc>
          <w:tcPr>
            <w:tcW w:type="dxa" w:w="1704"/>
          </w:tcPr>
          <w:p>
            <w:r>
              <w:rPr>
                <w:sz w:val="14"/>
              </w:rPr>
              <w:t>Imaging model development/benchmarking</w:t>
            </w:r>
          </w:p>
        </w:tc>
        <w:tc>
          <w:tcPr>
            <w:tcW w:type="dxa" w:w="1704"/>
          </w:tcPr>
          <w:p>
            <w:r>
              <w:rPr>
                <w:sz w:val="14"/>
              </w:rPr>
              <w:t>https://aimi.stanford.edu/datasets/chexpert-chest-x-rays</w:t>
            </w:r>
          </w:p>
        </w:tc>
      </w:tr>
    </w:tbl>
    <w:p>
      <w:pPr>
        <w:pStyle w:val="Heading1"/>
      </w:pPr>
      <w:r>
        <w:t>14. Five-Year Implementation Roadmap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sz w:val="15"/>
              </w:rPr>
              <w:t>Time</w:t>
            </w:r>
          </w:p>
        </w:tc>
        <w:tc>
          <w:tcPr>
            <w:tcW w:type="dxa" w:w="2556"/>
          </w:tcPr>
          <w:p>
            <w:r>
              <w:rPr>
                <w:b/>
                <w:sz w:val="15"/>
              </w:rPr>
              <w:t>Stage</w:t>
            </w:r>
          </w:p>
        </w:tc>
        <w:tc>
          <w:tcPr>
            <w:tcW w:type="dxa" w:w="2556"/>
          </w:tcPr>
          <w:p>
            <w:r>
              <w:rPr>
                <w:b/>
                <w:sz w:val="15"/>
              </w:rPr>
              <w:t>Actions</w:t>
            </w:r>
          </w:p>
        </w:tc>
        <w:tc>
          <w:tcPr>
            <w:tcW w:type="dxa" w:w="2556"/>
          </w:tcPr>
          <w:p>
            <w:r>
              <w:rPr>
                <w:b/>
                <w:sz w:val="15"/>
              </w:rPr>
              <w:t>Deliverable</w:t>
            </w:r>
          </w:p>
        </w:tc>
      </w:tr>
      <w:tr>
        <w:tc>
          <w:tcPr>
            <w:tcW w:type="dxa" w:w="2556"/>
          </w:tcPr>
          <w:p>
            <w:r>
              <w:rPr>
                <w:sz w:val="14"/>
              </w:rPr>
              <w:t>0–6 months</w:t>
            </w:r>
          </w:p>
        </w:tc>
        <w:tc>
          <w:tcPr>
            <w:tcW w:type="dxa" w:w="2556"/>
          </w:tcPr>
          <w:p>
            <w:r>
              <w:rPr>
                <w:sz w:val="14"/>
              </w:rPr>
              <w:t>Govern</w:t>
            </w:r>
          </w:p>
        </w:tc>
        <w:tc>
          <w:tcPr>
            <w:tcW w:type="dxa" w:w="2556"/>
          </w:tcPr>
          <w:p>
            <w:r>
              <w:rPr>
                <w:sz w:val="14"/>
              </w:rPr>
              <w:t>AI inventory, risk tiers, owners, data map, incident process</w:t>
            </w:r>
          </w:p>
        </w:tc>
        <w:tc>
          <w:tcPr>
            <w:tcW w:type="dxa" w:w="2556"/>
          </w:tcPr>
          <w:p>
            <w:r>
              <w:rPr>
                <w:sz w:val="14"/>
              </w:rPr>
              <w:t>Governance charter</w:t>
            </w:r>
          </w:p>
        </w:tc>
      </w:tr>
      <w:tr>
        <w:tc>
          <w:tcPr>
            <w:tcW w:type="dxa" w:w="2556"/>
          </w:tcPr>
          <w:p>
            <w:r>
              <w:rPr>
                <w:sz w:val="14"/>
              </w:rPr>
              <w:t>6–12 months</w:t>
            </w:r>
          </w:p>
        </w:tc>
        <w:tc>
          <w:tcPr>
            <w:tcW w:type="dxa" w:w="2556"/>
          </w:tcPr>
          <w:p>
            <w:r>
              <w:rPr>
                <w:sz w:val="14"/>
              </w:rPr>
              <w:t>Measure</w:t>
            </w:r>
          </w:p>
        </w:tc>
        <w:tc>
          <w:tcPr>
            <w:tcW w:type="dxa" w:w="2556"/>
          </w:tcPr>
          <w:p>
            <w:r>
              <w:rPr>
                <w:sz w:val="14"/>
              </w:rPr>
              <w:t>Baseline, clinical endpoints, subgroup metrics, calibration</w:t>
            </w:r>
          </w:p>
        </w:tc>
        <w:tc>
          <w:tcPr>
            <w:tcW w:type="dxa" w:w="2556"/>
          </w:tcPr>
          <w:p>
            <w:r>
              <w:rPr>
                <w:sz w:val="14"/>
              </w:rPr>
              <w:t>Evaluation protocol</w:t>
            </w:r>
          </w:p>
        </w:tc>
      </w:tr>
      <w:tr>
        <w:tc>
          <w:tcPr>
            <w:tcW w:type="dxa" w:w="2556"/>
          </w:tcPr>
          <w:p>
            <w:r>
              <w:rPr>
                <w:sz w:val="14"/>
              </w:rPr>
              <w:t>12–24 months</w:t>
            </w:r>
          </w:p>
        </w:tc>
        <w:tc>
          <w:tcPr>
            <w:tcW w:type="dxa" w:w="2556"/>
          </w:tcPr>
          <w:p>
            <w:r>
              <w:rPr>
                <w:sz w:val="14"/>
              </w:rPr>
              <w:t>Pilot</w:t>
            </w:r>
          </w:p>
        </w:tc>
        <w:tc>
          <w:tcPr>
            <w:tcW w:type="dxa" w:w="2556"/>
          </w:tcPr>
          <w:p>
            <w:r>
              <w:rPr>
                <w:sz w:val="14"/>
              </w:rPr>
              <w:t>Prospective/silent evaluation, workflow integration, human oversight</w:t>
            </w:r>
          </w:p>
        </w:tc>
        <w:tc>
          <w:tcPr>
            <w:tcW w:type="dxa" w:w="2556"/>
          </w:tcPr>
          <w:p>
            <w:r>
              <w:rPr>
                <w:sz w:val="14"/>
              </w:rPr>
              <w:t>Evidence pack</w:t>
            </w:r>
          </w:p>
        </w:tc>
      </w:tr>
      <w:tr>
        <w:tc>
          <w:tcPr>
            <w:tcW w:type="dxa" w:w="2556"/>
          </w:tcPr>
          <w:p>
            <w:r>
              <w:rPr>
                <w:sz w:val="14"/>
              </w:rPr>
              <w:t>24–36 months</w:t>
            </w:r>
          </w:p>
        </w:tc>
        <w:tc>
          <w:tcPr>
            <w:tcW w:type="dxa" w:w="2556"/>
          </w:tcPr>
          <w:p>
            <w:r>
              <w:rPr>
                <w:sz w:val="14"/>
              </w:rPr>
              <w:t>Scale</w:t>
            </w:r>
          </w:p>
        </w:tc>
        <w:tc>
          <w:tcPr>
            <w:tcW w:type="dxa" w:w="2556"/>
          </w:tcPr>
          <w:p>
            <w:r>
              <w:rPr>
                <w:sz w:val="14"/>
              </w:rPr>
              <w:t>Interoperability, drift monitoring, vendor change control</w:t>
            </w:r>
          </w:p>
        </w:tc>
        <w:tc>
          <w:tcPr>
            <w:tcW w:type="dxa" w:w="2556"/>
          </w:tcPr>
          <w:p>
            <w:r>
              <w:rPr>
                <w:sz w:val="14"/>
              </w:rPr>
              <w:t>Production monitoring</w:t>
            </w:r>
          </w:p>
        </w:tc>
      </w:tr>
      <w:tr>
        <w:tc>
          <w:tcPr>
            <w:tcW w:type="dxa" w:w="2556"/>
          </w:tcPr>
          <w:p>
            <w:r>
              <w:rPr>
                <w:sz w:val="14"/>
              </w:rPr>
              <w:t>36–60 months</w:t>
            </w:r>
          </w:p>
        </w:tc>
        <w:tc>
          <w:tcPr>
            <w:tcW w:type="dxa" w:w="2556"/>
          </w:tcPr>
          <w:p>
            <w:r>
              <w:rPr>
                <w:sz w:val="14"/>
              </w:rPr>
              <w:t>Advance</w:t>
            </w:r>
          </w:p>
        </w:tc>
        <w:tc>
          <w:tcPr>
            <w:tcW w:type="dxa" w:w="2556"/>
          </w:tcPr>
          <w:p>
            <w:r>
              <w:rPr>
                <w:sz w:val="14"/>
              </w:rPr>
              <w:t>Multimodal, constrained agentic, precision medicine pilots</w:t>
            </w:r>
          </w:p>
        </w:tc>
        <w:tc>
          <w:tcPr>
            <w:tcW w:type="dxa" w:w="2556"/>
          </w:tcPr>
          <w:p>
            <w:r>
              <w:rPr>
                <w:sz w:val="14"/>
              </w:rPr>
              <w:t>Advanced AI portfolio</w:t>
            </w:r>
          </w:p>
        </w:tc>
      </w:tr>
    </w:tbl>
    <w:p>
      <w:pPr>
        <w:pStyle w:val="Heading1"/>
      </w:pPr>
      <w:r>
        <w:t>15. Stakeholder Action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sz w:val="15"/>
              </w:rPr>
              <w:t>Stakeholder</w:t>
            </w:r>
          </w:p>
        </w:tc>
        <w:tc>
          <w:tcPr>
            <w:tcW w:type="dxa" w:w="3408"/>
          </w:tcPr>
          <w:p>
            <w:r>
              <w:rPr>
                <w:b/>
                <w:sz w:val="15"/>
              </w:rPr>
              <w:t>Priority</w:t>
            </w:r>
          </w:p>
        </w:tc>
        <w:tc>
          <w:tcPr>
            <w:tcW w:type="dxa" w:w="3408"/>
          </w:tcPr>
          <w:p>
            <w:r>
              <w:rPr>
                <w:b/>
                <w:sz w:val="15"/>
              </w:rPr>
              <w:t>Action</w:t>
            </w:r>
          </w:p>
        </w:tc>
      </w:tr>
      <w:tr>
        <w:tc>
          <w:tcPr>
            <w:tcW w:type="dxa" w:w="3408"/>
          </w:tcPr>
          <w:p>
            <w:r>
              <w:rPr>
                <w:sz w:val="14"/>
              </w:rPr>
              <w:t>Patients</w:t>
            </w:r>
          </w:p>
        </w:tc>
        <w:tc>
          <w:tcPr>
            <w:tcW w:type="dxa" w:w="3408"/>
          </w:tcPr>
          <w:p>
            <w:r>
              <w:rPr>
                <w:sz w:val="14"/>
              </w:rPr>
              <w:t>Safety, privacy, transparency</w:t>
            </w:r>
          </w:p>
        </w:tc>
        <w:tc>
          <w:tcPr>
            <w:tcW w:type="dxa" w:w="3408"/>
          </w:tcPr>
          <w:p>
            <w:r>
              <w:rPr>
                <w:sz w:val="14"/>
              </w:rPr>
              <w:t>Disclosure, feedback and escalation</w:t>
            </w:r>
          </w:p>
        </w:tc>
      </w:tr>
      <w:tr>
        <w:tc>
          <w:tcPr>
            <w:tcW w:type="dxa" w:w="3408"/>
          </w:tcPr>
          <w:p>
            <w:r>
              <w:rPr>
                <w:sz w:val="14"/>
              </w:rPr>
              <w:t>Clinicians/pharmacists</w:t>
            </w:r>
          </w:p>
        </w:tc>
        <w:tc>
          <w:tcPr>
            <w:tcW w:type="dxa" w:w="3408"/>
          </w:tcPr>
          <w:p>
            <w:r>
              <w:rPr>
                <w:sz w:val="14"/>
              </w:rPr>
              <w:t>Clinical utility and accountability</w:t>
            </w:r>
          </w:p>
        </w:tc>
        <w:tc>
          <w:tcPr>
            <w:tcW w:type="dxa" w:w="3408"/>
          </w:tcPr>
          <w:p>
            <w:r>
              <w:rPr>
                <w:sz w:val="14"/>
              </w:rPr>
              <w:t>Co-design, training, override and error reporting</w:t>
            </w:r>
          </w:p>
        </w:tc>
      </w:tr>
      <w:tr>
        <w:tc>
          <w:tcPr>
            <w:tcW w:type="dxa" w:w="3408"/>
          </w:tcPr>
          <w:p>
            <w:r>
              <w:rPr>
                <w:sz w:val="14"/>
              </w:rPr>
              <w:t>Hospitals</w:t>
            </w:r>
          </w:p>
        </w:tc>
        <w:tc>
          <w:tcPr>
            <w:tcW w:type="dxa" w:w="3408"/>
          </w:tcPr>
          <w:p>
            <w:r>
              <w:rPr>
                <w:sz w:val="14"/>
              </w:rPr>
              <w:t>Outcomes, cost, integration</w:t>
            </w:r>
          </w:p>
        </w:tc>
        <w:tc>
          <w:tcPr>
            <w:tcW w:type="dxa" w:w="3408"/>
          </w:tcPr>
          <w:p>
            <w:r>
              <w:rPr>
                <w:sz w:val="14"/>
              </w:rPr>
              <w:t>Governance, procurement evidence and monitoring</w:t>
            </w:r>
          </w:p>
        </w:tc>
      </w:tr>
      <w:tr>
        <w:tc>
          <w:tcPr>
            <w:tcW w:type="dxa" w:w="3408"/>
          </w:tcPr>
          <w:p>
            <w:r>
              <w:rPr>
                <w:sz w:val="14"/>
              </w:rPr>
              <w:t>Developers</w:t>
            </w:r>
          </w:p>
        </w:tc>
        <w:tc>
          <w:tcPr>
            <w:tcW w:type="dxa" w:w="3408"/>
          </w:tcPr>
          <w:p>
            <w:r>
              <w:rPr>
                <w:sz w:val="14"/>
              </w:rPr>
              <w:t>Validation and security</w:t>
            </w:r>
          </w:p>
        </w:tc>
        <w:tc>
          <w:tcPr>
            <w:tcW w:type="dxa" w:w="3408"/>
          </w:tcPr>
          <w:p>
            <w:r>
              <w:rPr>
                <w:sz w:val="14"/>
              </w:rPr>
              <w:t>Documentation, subgroup tests, audit logs</w:t>
            </w:r>
          </w:p>
        </w:tc>
      </w:tr>
      <w:tr>
        <w:tc>
          <w:tcPr>
            <w:tcW w:type="dxa" w:w="3408"/>
          </w:tcPr>
          <w:p>
            <w:r>
              <w:rPr>
                <w:sz w:val="14"/>
              </w:rPr>
              <w:t>Researchers</w:t>
            </w:r>
          </w:p>
        </w:tc>
        <w:tc>
          <w:tcPr>
            <w:tcW w:type="dxa" w:w="3408"/>
          </w:tcPr>
          <w:p>
            <w:r>
              <w:rPr>
                <w:sz w:val="14"/>
              </w:rPr>
              <w:t>External validity</w:t>
            </w:r>
          </w:p>
        </w:tc>
        <w:tc>
          <w:tcPr>
            <w:tcW w:type="dxa" w:w="3408"/>
          </w:tcPr>
          <w:p>
            <w:r>
              <w:rPr>
                <w:sz w:val="14"/>
              </w:rPr>
              <w:t>Independent validation and reproducibility</w:t>
            </w:r>
          </w:p>
        </w:tc>
      </w:tr>
      <w:tr>
        <w:tc>
          <w:tcPr>
            <w:tcW w:type="dxa" w:w="3408"/>
          </w:tcPr>
          <w:p>
            <w:r>
              <w:rPr>
                <w:sz w:val="14"/>
              </w:rPr>
              <w:t>Pharma/biotech</w:t>
            </w:r>
          </w:p>
        </w:tc>
        <w:tc>
          <w:tcPr>
            <w:tcW w:type="dxa" w:w="3408"/>
          </w:tcPr>
          <w:p>
            <w:r>
              <w:rPr>
                <w:sz w:val="14"/>
              </w:rPr>
              <w:t>Scientific validity</w:t>
            </w:r>
          </w:p>
        </w:tc>
        <w:tc>
          <w:tcPr>
            <w:tcW w:type="dxa" w:w="3408"/>
          </w:tcPr>
          <w:p>
            <w:r>
              <w:rPr>
                <w:sz w:val="14"/>
              </w:rPr>
              <w:t>AI hypotheses followed by lab/clinical validation</w:t>
            </w:r>
          </w:p>
        </w:tc>
      </w:tr>
      <w:tr>
        <w:tc>
          <w:tcPr>
            <w:tcW w:type="dxa" w:w="3408"/>
          </w:tcPr>
          <w:p>
            <w:r>
              <w:rPr>
                <w:sz w:val="14"/>
              </w:rPr>
              <w:t>Regulators/policy makers</w:t>
            </w:r>
          </w:p>
        </w:tc>
        <w:tc>
          <w:tcPr>
            <w:tcW w:type="dxa" w:w="3408"/>
          </w:tcPr>
          <w:p>
            <w:r>
              <w:rPr>
                <w:sz w:val="14"/>
              </w:rPr>
              <w:t>Safety and innovation</w:t>
            </w:r>
          </w:p>
        </w:tc>
        <w:tc>
          <w:tcPr>
            <w:tcW w:type="dxa" w:w="3408"/>
          </w:tcPr>
          <w:p>
            <w:r>
              <w:rPr>
                <w:sz w:val="14"/>
              </w:rPr>
              <w:t>Risk-based oversight and standards</w:t>
            </w:r>
          </w:p>
        </w:tc>
      </w:tr>
    </w:tbl>
    <w:p>
      <w:pPr>
        <w:pStyle w:val="Heading1"/>
      </w:pPr>
      <w:r>
        <w:t>16. AI Adoption Gate Checklist</w:t>
      </w:r>
    </w:p>
    <w:p>
      <w:pPr>
        <w:pStyle w:val="ListBullet"/>
      </w:pPr>
      <w:r>
        <w:t>Define the clinical/operational problem and current standard workflow.</w:t>
      </w:r>
    </w:p>
    <w:p>
      <w:pPr>
        <w:pStyle w:val="ListBullet"/>
      </w:pPr>
      <w:r>
        <w:t>Predefine primary effectiveness, safety and fairness endpoints.</w:t>
      </w:r>
    </w:p>
    <w:p>
      <w:pPr>
        <w:pStyle w:val="ListBullet"/>
      </w:pPr>
      <w:r>
        <w:t>Document intended use, contraindications and known failure modes.</w:t>
      </w:r>
    </w:p>
    <w:p>
      <w:pPr>
        <w:pStyle w:val="ListBullet"/>
      </w:pPr>
      <w:r>
        <w:t>Use governed, representative data and prevent patient-level leakage.</w:t>
      </w:r>
    </w:p>
    <w:p>
      <w:pPr>
        <w:pStyle w:val="ListBullet"/>
      </w:pPr>
      <w:r>
        <w:t>Perform internal and external validation.</w:t>
      </w:r>
    </w:p>
    <w:p>
      <w:pPr>
        <w:pStyle w:val="ListBullet"/>
      </w:pPr>
      <w:r>
        <w:t>Assess calibration, subgroup performance and uncertainty.</w:t>
      </w:r>
    </w:p>
    <w:p>
      <w:pPr>
        <w:pStyle w:val="ListBullet"/>
      </w:pPr>
      <w:r>
        <w:t>Use silent prospective evaluation before clinical influence where appropriate.</w:t>
      </w:r>
    </w:p>
    <w:p>
      <w:pPr>
        <w:pStyle w:val="ListBullet"/>
      </w:pPr>
      <w:r>
        <w:t>Define human oversight, override and escalation pathways.</w:t>
      </w:r>
    </w:p>
    <w:p>
      <w:pPr>
        <w:pStyle w:val="ListBullet"/>
      </w:pPr>
      <w:r>
        <w:t>Monitor real-world drift, data quality and model/vendor updates.</w:t>
      </w:r>
    </w:p>
    <w:p>
      <w:pPr>
        <w:pStyle w:val="ListBullet"/>
      </w:pPr>
      <w:r>
        <w:t>Maintain cybersecurity, access control and audit logs.</w:t>
      </w:r>
    </w:p>
    <w:p>
      <w:pPr>
        <w:pStyle w:val="ListBullet"/>
      </w:pPr>
      <w:r>
        <w:t>Review applicable regulatory and data-protection requirements.</w:t>
      </w:r>
    </w:p>
    <w:p>
      <w:pPr>
        <w:pStyle w:val="ListBullet"/>
      </w:pPr>
      <w:r>
        <w:t>Define stop, rollback and retirement criteria.</w:t>
      </w:r>
    </w:p>
    <w:p>
      <w:pPr>
        <w:pStyle w:val="Heading1"/>
      </w:pPr>
      <w:r>
        <w:t>17. Primary References</w:t>
      </w:r>
    </w:p>
    <w:p>
      <w:r>
        <w:t>WHO – Harnessing AI for Health: https://www.who.int/teams/digital-health-and-innovation/harnessing-artificial-intelligence-for-health</w:t>
      </w:r>
    </w:p>
    <w:p>
      <w:r>
        <w:t>WHO – LMM Ethics and Governance: https://www.who.int/publications/i/item/9789240084759</w:t>
      </w:r>
    </w:p>
    <w:p>
      <w:r>
        <w:t>WHO – Global Initiative on AI for Health, September 2026: https://www.who.int/news-room/events/detail/2026/09/16/default-calendar/third-meeting-of-the-global-initiative-on-ai-for-health</w:t>
      </w:r>
    </w:p>
    <w:p>
      <w:r>
        <w:t>FDA – AI-Enabled Medical Devices: https://www.fda.gov/medical-devices/software-medical-device-samd/artificial-intelligence-enabled-medical-devices</w:t>
      </w:r>
    </w:p>
    <w:p>
      <w:r>
        <w:t>FDA – IDx-DR: https://www.accessdata.fda.gov/scripts/cdrh/cfdocs/cfPMN/denovo.cfm?ID=DEN180001</w:t>
      </w:r>
    </w:p>
    <w:p>
      <w:r>
        <w:t>FDA – Real-world AI device performance: https://www.fda.gov/medical-devices/digital-health-center-excellence/request-public-comment-measuring-and-evaluating-artificial-intelligence-enabled-medical-device</w:t>
      </w:r>
    </w:p>
    <w:p>
      <w:r>
        <w:t>NIST – AI Risk Management Framework: https://www.nist.gov/itl/ai-risk-management-framework</w:t>
      </w:r>
    </w:p>
    <w:p>
      <w:r>
        <w:t>European Commission – AI Act: https://digital-strategy.ec.europa.eu/en/faqs/navigating-ai-act</w:t>
      </w:r>
    </w:p>
    <w:p>
      <w:r>
        <w:t>MeitY – DPDP Rules 2025: https://www.meity.gov.in/documents/act-and-policies/digital-personal-data-protection-rules-2025-gDOxUjMtQWa</w:t>
      </w:r>
    </w:p>
    <w:p>
      <w:r>
        <w:t>NITI Aayog – Healthcare AI Catalyst: https://www.niti.gov.in/node/342</w:t>
      </w:r>
    </w:p>
    <w:p>
      <w:r>
        <w:t>TREWS sepsis study: https://www.nature.com/articles/s41591-022-01894-0</w:t>
      </w:r>
    </w:p>
    <w:p>
      <w:r>
        <w:t>Lausanne sepsis study: https://www.nature.com/articles/s41746-025-02180-2</w:t>
      </w:r>
    </w:p>
    <w:p>
      <w:r>
        <w:t>Rentosertib phase 2a: https://www.nature.com/articles/s41591-025-03743-2</w:t>
      </w:r>
    </w:p>
    <w:p>
      <w:r>
        <w:t>Rentosertib discovery: https://www.nature.com/articles/s41587-024-02143-0</w:t>
      </w:r>
    </w:p>
    <w:p>
      <w:r>
        <w:t>AlphaFold DB: https://www.ebi.ac.uk/about/news/technology-and-innovation/alphafold-200-million/</w:t>
      </w:r>
    </w:p>
    <w:p>
      <w:r>
        <w:t>CheXpert: https://aimi.stanford.edu/datasets/chexpert-chest-x-rays</w:t>
      </w:r>
    </w:p>
    <w:p>
      <w:r>
        <w:t>MIMIC-IV v3.0: https://physionet.org/content/mimiciv/3.0/</w:t>
      </w:r>
    </w:p>
    <w:p>
      <w:pPr>
        <w:pStyle w:val="Heading1"/>
      </w:pPr>
      <w:r>
        <w:t>18. Academic Transparency and Disclaimer</w:t>
      </w:r>
    </w:p>
    <w:p>
      <w:r>
        <w:t>This project intentionally separates published clinical evidence from strategic interpretation. Numerical findings are attributed to cited studies or official sources; no patient-level clinical data are fabricated or included. MIMIC-IV is referenced only as a governed research resource. This whitepaper is an academic/strategic submission, not medical advice, clinical guidance, regulatory legal advice or a recommendation to deploy a specific AI product.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