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D1D" w:rsidRPr="00CE1D3D" w:rsidRDefault="00CE1D3D" w:rsidP="00FE59FC">
      <w:pPr>
        <w:pStyle w:val="Title"/>
        <w:rPr>
          <w:rFonts w:eastAsia="Times New Roman" w:cstheme="majorHAnsi"/>
          <w:sz w:val="52"/>
          <w:lang w:eastAsia="en-IN"/>
        </w:rPr>
      </w:pPr>
      <w:r w:rsidRPr="00CE1D3D">
        <w:rPr>
          <w:rFonts w:eastAsia="Times New Roman" w:cstheme="majorHAnsi"/>
          <w:sz w:val="52"/>
          <w:lang w:eastAsia="en-IN"/>
        </w:rPr>
        <w:t xml:space="preserve">Azure </w:t>
      </w:r>
      <w:r w:rsidR="00FE59FC" w:rsidRPr="00CE1D3D">
        <w:rPr>
          <w:rFonts w:eastAsia="Times New Roman" w:cstheme="majorHAnsi"/>
          <w:sz w:val="52"/>
          <w:lang w:eastAsia="en-IN"/>
        </w:rPr>
        <w:t>Comparisons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7"/>
        <w:gridCol w:w="5142"/>
        <w:gridCol w:w="2267"/>
      </w:tblGrid>
      <w:tr w:rsidR="00814D1D" w:rsidRPr="00814D1D" w:rsidTr="00CE1D3D">
        <w:trPr>
          <w:trHeight w:val="512"/>
          <w:tblHeader/>
          <w:tblCellSpacing w:w="15" w:type="dxa"/>
        </w:trPr>
        <w:tc>
          <w:tcPr>
            <w:tcW w:w="0" w:type="auto"/>
            <w:vAlign w:val="center"/>
            <w:hideMark/>
          </w:tcPr>
          <w:p w:rsidR="00CE1D3D" w:rsidRPr="00814D1D" w:rsidRDefault="00CE1D3D" w:rsidP="00814D1D">
            <w:pPr>
              <w:spacing w:after="0" w:line="240" w:lineRule="auto"/>
              <w:rPr>
                <w:rFonts w:asciiTheme="majorHAnsi" w:eastAsia="Times New Roman" w:hAnsiTheme="majorHAnsi" w:cstheme="majorHAnsi"/>
                <w:szCs w:val="24"/>
                <w:lang w:eastAsia="en-IN"/>
              </w:rPr>
            </w:pPr>
            <w:bookmarkStart w:id="0" w:name="_GoBack"/>
            <w:bookmarkEnd w:id="0"/>
          </w:p>
        </w:tc>
        <w:tc>
          <w:tcPr>
            <w:tcW w:w="0" w:type="auto"/>
            <w:vAlign w:val="center"/>
            <w:hideMark/>
          </w:tcPr>
          <w:p w:rsidR="00814D1D" w:rsidRPr="00814D1D" w:rsidRDefault="00814D1D" w:rsidP="00814D1D">
            <w:pPr>
              <w:spacing w:after="0" w:line="240" w:lineRule="auto"/>
              <w:jc w:val="center"/>
              <w:rPr>
                <w:rFonts w:asciiTheme="majorHAnsi" w:eastAsia="Times New Roman" w:hAnsiTheme="majorHAnsi" w:cstheme="majorHAnsi"/>
                <w:b/>
                <w:bCs/>
                <w:szCs w:val="24"/>
                <w:lang w:eastAsia="en-IN"/>
              </w:rPr>
            </w:pPr>
            <w:r w:rsidRPr="00814D1D">
              <w:rPr>
                <w:rFonts w:asciiTheme="majorHAnsi" w:eastAsia="Times New Roman" w:hAnsiTheme="majorHAnsi" w:cstheme="majorHAnsi"/>
                <w:b/>
                <w:bCs/>
                <w:szCs w:val="24"/>
                <w:lang w:eastAsia="en-IN"/>
              </w:rPr>
              <w:t>Functions</w:t>
            </w:r>
          </w:p>
        </w:tc>
        <w:tc>
          <w:tcPr>
            <w:tcW w:w="0" w:type="auto"/>
            <w:vAlign w:val="center"/>
            <w:hideMark/>
          </w:tcPr>
          <w:p w:rsidR="00814D1D" w:rsidRPr="00814D1D" w:rsidRDefault="00814D1D" w:rsidP="00814D1D">
            <w:pPr>
              <w:spacing w:after="0" w:line="240" w:lineRule="auto"/>
              <w:jc w:val="center"/>
              <w:rPr>
                <w:rFonts w:asciiTheme="majorHAnsi" w:eastAsia="Times New Roman" w:hAnsiTheme="majorHAnsi" w:cstheme="majorHAnsi"/>
                <w:b/>
                <w:bCs/>
                <w:szCs w:val="24"/>
                <w:lang w:eastAsia="en-IN"/>
              </w:rPr>
            </w:pPr>
            <w:proofErr w:type="spellStart"/>
            <w:r w:rsidRPr="00814D1D">
              <w:rPr>
                <w:rFonts w:asciiTheme="majorHAnsi" w:eastAsia="Times New Roman" w:hAnsiTheme="majorHAnsi" w:cstheme="majorHAnsi"/>
                <w:b/>
                <w:bCs/>
                <w:szCs w:val="24"/>
                <w:lang w:eastAsia="en-IN"/>
              </w:rPr>
              <w:t>WebJobs</w:t>
            </w:r>
            <w:proofErr w:type="spellEnd"/>
          </w:p>
        </w:tc>
      </w:tr>
      <w:tr w:rsidR="00814D1D" w:rsidRPr="00814D1D" w:rsidTr="00CE1D3D">
        <w:trPr>
          <w:tblCellSpacing w:w="15" w:type="dxa"/>
        </w:trPr>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Scaling</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proofErr w:type="spellStart"/>
            <w:r w:rsidRPr="00814D1D">
              <w:rPr>
                <w:rFonts w:asciiTheme="majorHAnsi" w:eastAsia="Times New Roman" w:hAnsiTheme="majorHAnsi" w:cstheme="majorHAnsi"/>
                <w:szCs w:val="24"/>
                <w:lang w:eastAsia="en-IN"/>
              </w:rPr>
              <w:t>Configurationless</w:t>
            </w:r>
            <w:proofErr w:type="spellEnd"/>
            <w:r w:rsidRPr="00814D1D">
              <w:rPr>
                <w:rFonts w:asciiTheme="majorHAnsi" w:eastAsia="Times New Roman" w:hAnsiTheme="majorHAnsi" w:cstheme="majorHAnsi"/>
                <w:szCs w:val="24"/>
                <w:lang w:eastAsia="en-IN"/>
              </w:rPr>
              <w:t xml:space="preserve"> scaling</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Scale with App Service plan</w:t>
            </w:r>
          </w:p>
        </w:tc>
      </w:tr>
      <w:tr w:rsidR="00814D1D" w:rsidRPr="00814D1D" w:rsidTr="00CE1D3D">
        <w:trPr>
          <w:tblCellSpacing w:w="15" w:type="dxa"/>
        </w:trPr>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Pricing</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Pay-per-use or part of App Service plan</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Part of App Service plan</w:t>
            </w:r>
          </w:p>
        </w:tc>
      </w:tr>
      <w:tr w:rsidR="00814D1D" w:rsidRPr="00814D1D" w:rsidTr="00CE1D3D">
        <w:trPr>
          <w:tblCellSpacing w:w="15" w:type="dxa"/>
        </w:trPr>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Run-type</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Triggered, scheduled (by timer trigger)</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Triggered, continuous, scheduled</w:t>
            </w:r>
          </w:p>
        </w:tc>
      </w:tr>
      <w:tr w:rsidR="00814D1D" w:rsidRPr="00814D1D" w:rsidTr="00CE1D3D">
        <w:trPr>
          <w:tblCellSpacing w:w="15" w:type="dxa"/>
        </w:trPr>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Trigger events</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hyperlink r:id="rId4" w:history="1">
              <w:r w:rsidRPr="00CE1D3D">
                <w:rPr>
                  <w:rFonts w:asciiTheme="majorHAnsi" w:eastAsia="Times New Roman" w:hAnsiTheme="majorHAnsi" w:cstheme="majorHAnsi"/>
                  <w:color w:val="0000FF"/>
                  <w:szCs w:val="24"/>
                  <w:u w:val="single"/>
                  <w:lang w:eastAsia="en-IN"/>
                </w:rPr>
                <w:t>Timer</w:t>
              </w:r>
            </w:hyperlink>
            <w:r w:rsidRPr="00814D1D">
              <w:rPr>
                <w:rFonts w:asciiTheme="majorHAnsi" w:eastAsia="Times New Roman" w:hAnsiTheme="majorHAnsi" w:cstheme="majorHAnsi"/>
                <w:szCs w:val="24"/>
                <w:lang w:eastAsia="en-IN"/>
              </w:rPr>
              <w:t xml:space="preserve">, </w:t>
            </w:r>
            <w:hyperlink r:id="rId5" w:history="1">
              <w:r w:rsidRPr="00CE1D3D">
                <w:rPr>
                  <w:rFonts w:asciiTheme="majorHAnsi" w:eastAsia="Times New Roman" w:hAnsiTheme="majorHAnsi" w:cstheme="majorHAnsi"/>
                  <w:color w:val="0000FF"/>
                  <w:szCs w:val="24"/>
                  <w:u w:val="single"/>
                  <w:lang w:eastAsia="en-IN"/>
                </w:rPr>
                <w:t>Azure Cosmos DB</w:t>
              </w:r>
            </w:hyperlink>
            <w:r w:rsidRPr="00814D1D">
              <w:rPr>
                <w:rFonts w:asciiTheme="majorHAnsi" w:eastAsia="Times New Roman" w:hAnsiTheme="majorHAnsi" w:cstheme="majorHAnsi"/>
                <w:szCs w:val="24"/>
                <w:lang w:eastAsia="en-IN"/>
              </w:rPr>
              <w:t xml:space="preserve">, </w:t>
            </w:r>
            <w:hyperlink r:id="rId6" w:history="1">
              <w:r w:rsidRPr="00CE1D3D">
                <w:rPr>
                  <w:rFonts w:asciiTheme="majorHAnsi" w:eastAsia="Times New Roman" w:hAnsiTheme="majorHAnsi" w:cstheme="majorHAnsi"/>
                  <w:color w:val="0000FF"/>
                  <w:szCs w:val="24"/>
                  <w:u w:val="single"/>
                  <w:lang w:eastAsia="en-IN"/>
                </w:rPr>
                <w:t>Azure Event Hubs</w:t>
              </w:r>
            </w:hyperlink>
            <w:r w:rsidRPr="00814D1D">
              <w:rPr>
                <w:rFonts w:asciiTheme="majorHAnsi" w:eastAsia="Times New Roman" w:hAnsiTheme="majorHAnsi" w:cstheme="majorHAnsi"/>
                <w:szCs w:val="24"/>
                <w:lang w:eastAsia="en-IN"/>
              </w:rPr>
              <w:t xml:space="preserve">, </w:t>
            </w:r>
            <w:hyperlink r:id="rId7" w:history="1">
              <w:r w:rsidRPr="00CE1D3D">
                <w:rPr>
                  <w:rFonts w:asciiTheme="majorHAnsi" w:eastAsia="Times New Roman" w:hAnsiTheme="majorHAnsi" w:cstheme="majorHAnsi"/>
                  <w:color w:val="0000FF"/>
                  <w:szCs w:val="24"/>
                  <w:u w:val="single"/>
                  <w:lang w:eastAsia="en-IN"/>
                </w:rPr>
                <w:t>HTTP/</w:t>
              </w:r>
              <w:proofErr w:type="spellStart"/>
              <w:r w:rsidRPr="00CE1D3D">
                <w:rPr>
                  <w:rFonts w:asciiTheme="majorHAnsi" w:eastAsia="Times New Roman" w:hAnsiTheme="majorHAnsi" w:cstheme="majorHAnsi"/>
                  <w:color w:val="0000FF"/>
                  <w:szCs w:val="24"/>
                  <w:u w:val="single"/>
                  <w:lang w:eastAsia="en-IN"/>
                </w:rPr>
                <w:t>WebHook</w:t>
              </w:r>
              <w:proofErr w:type="spellEnd"/>
              <w:r w:rsidRPr="00CE1D3D">
                <w:rPr>
                  <w:rFonts w:asciiTheme="majorHAnsi" w:eastAsia="Times New Roman" w:hAnsiTheme="majorHAnsi" w:cstheme="majorHAnsi"/>
                  <w:color w:val="0000FF"/>
                  <w:szCs w:val="24"/>
                  <w:u w:val="single"/>
                  <w:lang w:eastAsia="en-IN"/>
                </w:rPr>
                <w:t xml:space="preserve"> (GitHub, Slack)</w:t>
              </w:r>
            </w:hyperlink>
            <w:r w:rsidRPr="00814D1D">
              <w:rPr>
                <w:rFonts w:asciiTheme="majorHAnsi" w:eastAsia="Times New Roman" w:hAnsiTheme="majorHAnsi" w:cstheme="majorHAnsi"/>
                <w:szCs w:val="24"/>
                <w:lang w:eastAsia="en-IN"/>
              </w:rPr>
              <w:t xml:space="preserve">, </w:t>
            </w:r>
            <w:hyperlink r:id="rId8" w:history="1">
              <w:r w:rsidRPr="00CE1D3D">
                <w:rPr>
                  <w:rFonts w:asciiTheme="majorHAnsi" w:eastAsia="Times New Roman" w:hAnsiTheme="majorHAnsi" w:cstheme="majorHAnsi"/>
                  <w:color w:val="0000FF"/>
                  <w:szCs w:val="24"/>
                  <w:u w:val="single"/>
                  <w:lang w:eastAsia="en-IN"/>
                </w:rPr>
                <w:t>Azure App Service Mobile Apps</w:t>
              </w:r>
            </w:hyperlink>
            <w:r w:rsidRPr="00814D1D">
              <w:rPr>
                <w:rFonts w:asciiTheme="majorHAnsi" w:eastAsia="Times New Roman" w:hAnsiTheme="majorHAnsi" w:cstheme="majorHAnsi"/>
                <w:szCs w:val="24"/>
                <w:lang w:eastAsia="en-IN"/>
              </w:rPr>
              <w:t xml:space="preserve">, </w:t>
            </w:r>
            <w:hyperlink r:id="rId9" w:history="1">
              <w:r w:rsidRPr="00CE1D3D">
                <w:rPr>
                  <w:rFonts w:asciiTheme="majorHAnsi" w:eastAsia="Times New Roman" w:hAnsiTheme="majorHAnsi" w:cstheme="majorHAnsi"/>
                  <w:color w:val="0000FF"/>
                  <w:szCs w:val="24"/>
                  <w:u w:val="single"/>
                  <w:lang w:eastAsia="en-IN"/>
                </w:rPr>
                <w:t>Azure Event Hubs</w:t>
              </w:r>
            </w:hyperlink>
            <w:r w:rsidRPr="00814D1D">
              <w:rPr>
                <w:rFonts w:asciiTheme="majorHAnsi" w:eastAsia="Times New Roman" w:hAnsiTheme="majorHAnsi" w:cstheme="majorHAnsi"/>
                <w:szCs w:val="24"/>
                <w:lang w:eastAsia="en-IN"/>
              </w:rPr>
              <w:t xml:space="preserve">, </w:t>
            </w:r>
            <w:hyperlink r:id="rId10" w:history="1">
              <w:r w:rsidRPr="00CE1D3D">
                <w:rPr>
                  <w:rFonts w:asciiTheme="majorHAnsi" w:eastAsia="Times New Roman" w:hAnsiTheme="majorHAnsi" w:cstheme="majorHAnsi"/>
                  <w:color w:val="0000FF"/>
                  <w:szCs w:val="24"/>
                  <w:u w:val="single"/>
                  <w:lang w:eastAsia="en-IN"/>
                </w:rPr>
                <w:t>Azure Storage queues and blobs</w:t>
              </w:r>
            </w:hyperlink>
            <w:r w:rsidRPr="00814D1D">
              <w:rPr>
                <w:rFonts w:asciiTheme="majorHAnsi" w:eastAsia="Times New Roman" w:hAnsiTheme="majorHAnsi" w:cstheme="majorHAnsi"/>
                <w:szCs w:val="24"/>
                <w:lang w:eastAsia="en-IN"/>
              </w:rPr>
              <w:t xml:space="preserve">, </w:t>
            </w:r>
            <w:hyperlink r:id="rId11" w:history="1">
              <w:r w:rsidRPr="00CE1D3D">
                <w:rPr>
                  <w:rFonts w:asciiTheme="majorHAnsi" w:eastAsia="Times New Roman" w:hAnsiTheme="majorHAnsi" w:cstheme="majorHAnsi"/>
                  <w:color w:val="0000FF"/>
                  <w:szCs w:val="24"/>
                  <w:u w:val="single"/>
                  <w:lang w:eastAsia="en-IN"/>
                </w:rPr>
                <w:t>Azure Service Bus queues and topics</w:t>
              </w:r>
            </w:hyperlink>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hyperlink r:id="rId12" w:history="1">
              <w:r w:rsidRPr="00CE1D3D">
                <w:rPr>
                  <w:rFonts w:asciiTheme="majorHAnsi" w:eastAsia="Times New Roman" w:hAnsiTheme="majorHAnsi" w:cstheme="majorHAnsi"/>
                  <w:color w:val="0000FF"/>
                  <w:szCs w:val="24"/>
                  <w:u w:val="single"/>
                  <w:lang w:eastAsia="en-IN"/>
                </w:rPr>
                <w:t>Azure Storage queues and blobs</w:t>
              </w:r>
            </w:hyperlink>
            <w:r w:rsidRPr="00814D1D">
              <w:rPr>
                <w:rFonts w:asciiTheme="majorHAnsi" w:eastAsia="Times New Roman" w:hAnsiTheme="majorHAnsi" w:cstheme="majorHAnsi"/>
                <w:szCs w:val="24"/>
                <w:lang w:eastAsia="en-IN"/>
              </w:rPr>
              <w:t xml:space="preserve">, </w:t>
            </w:r>
            <w:hyperlink r:id="rId13" w:history="1">
              <w:r w:rsidRPr="00CE1D3D">
                <w:rPr>
                  <w:rFonts w:asciiTheme="majorHAnsi" w:eastAsia="Times New Roman" w:hAnsiTheme="majorHAnsi" w:cstheme="majorHAnsi"/>
                  <w:color w:val="0000FF"/>
                  <w:szCs w:val="24"/>
                  <w:u w:val="single"/>
                  <w:lang w:eastAsia="en-IN"/>
                </w:rPr>
                <w:t>Azure Service Bus queues and topics</w:t>
              </w:r>
            </w:hyperlink>
          </w:p>
        </w:tc>
      </w:tr>
      <w:tr w:rsidR="00814D1D" w:rsidRPr="00814D1D" w:rsidTr="00CE1D3D">
        <w:trPr>
          <w:tblCellSpacing w:w="15" w:type="dxa"/>
        </w:trPr>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In-browser development</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Supported</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Not Supported</w:t>
            </w:r>
          </w:p>
        </w:tc>
      </w:tr>
      <w:tr w:rsidR="00814D1D" w:rsidRPr="00814D1D" w:rsidTr="00CE1D3D">
        <w:trPr>
          <w:tblCellSpacing w:w="15" w:type="dxa"/>
        </w:trPr>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C#</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Supported</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Supported</w:t>
            </w:r>
          </w:p>
        </w:tc>
      </w:tr>
      <w:tr w:rsidR="00814D1D" w:rsidRPr="00814D1D" w:rsidTr="00CE1D3D">
        <w:trPr>
          <w:tblCellSpacing w:w="15" w:type="dxa"/>
        </w:trPr>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F#</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Supported</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Not Supported</w:t>
            </w:r>
          </w:p>
        </w:tc>
      </w:tr>
      <w:tr w:rsidR="00814D1D" w:rsidRPr="00814D1D" w:rsidTr="00CE1D3D">
        <w:trPr>
          <w:tblCellSpacing w:w="15" w:type="dxa"/>
        </w:trPr>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JavaScript</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Supported</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Supported</w:t>
            </w:r>
          </w:p>
        </w:tc>
      </w:tr>
      <w:tr w:rsidR="00814D1D" w:rsidRPr="00814D1D" w:rsidTr="00CE1D3D">
        <w:trPr>
          <w:tblCellSpacing w:w="15" w:type="dxa"/>
        </w:trPr>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Java</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Preview</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Not supported</w:t>
            </w:r>
          </w:p>
        </w:tc>
      </w:tr>
      <w:tr w:rsidR="00814D1D" w:rsidRPr="00814D1D" w:rsidTr="00CE1D3D">
        <w:trPr>
          <w:tblCellSpacing w:w="15" w:type="dxa"/>
        </w:trPr>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Bash</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Experimental</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Supported</w:t>
            </w:r>
          </w:p>
        </w:tc>
      </w:tr>
      <w:tr w:rsidR="00814D1D" w:rsidRPr="00814D1D" w:rsidTr="00CE1D3D">
        <w:trPr>
          <w:tblCellSpacing w:w="15" w:type="dxa"/>
        </w:trPr>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Windows scripting (.</w:t>
            </w:r>
            <w:proofErr w:type="spellStart"/>
            <w:r w:rsidRPr="00814D1D">
              <w:rPr>
                <w:rFonts w:asciiTheme="majorHAnsi" w:eastAsia="Times New Roman" w:hAnsiTheme="majorHAnsi" w:cstheme="majorHAnsi"/>
                <w:szCs w:val="24"/>
                <w:lang w:eastAsia="en-IN"/>
              </w:rPr>
              <w:t>cmd</w:t>
            </w:r>
            <w:proofErr w:type="spellEnd"/>
            <w:r w:rsidRPr="00814D1D">
              <w:rPr>
                <w:rFonts w:asciiTheme="majorHAnsi" w:eastAsia="Times New Roman" w:hAnsiTheme="majorHAnsi" w:cstheme="majorHAnsi"/>
                <w:szCs w:val="24"/>
                <w:lang w:eastAsia="en-IN"/>
              </w:rPr>
              <w:t>, .bat)</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Experimental</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Supported</w:t>
            </w:r>
          </w:p>
        </w:tc>
      </w:tr>
      <w:tr w:rsidR="00814D1D" w:rsidRPr="00814D1D" w:rsidTr="00CE1D3D">
        <w:trPr>
          <w:tblCellSpacing w:w="15" w:type="dxa"/>
        </w:trPr>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PowerShell</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Experimental</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Supported</w:t>
            </w:r>
          </w:p>
        </w:tc>
      </w:tr>
      <w:tr w:rsidR="00814D1D" w:rsidRPr="00814D1D" w:rsidTr="00CE1D3D">
        <w:trPr>
          <w:tblCellSpacing w:w="15" w:type="dxa"/>
        </w:trPr>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PHP</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Experimental</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Supported</w:t>
            </w:r>
          </w:p>
        </w:tc>
      </w:tr>
      <w:tr w:rsidR="00814D1D" w:rsidRPr="00814D1D" w:rsidTr="00CE1D3D">
        <w:trPr>
          <w:tblCellSpacing w:w="15" w:type="dxa"/>
        </w:trPr>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Python</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Experimental</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Supported</w:t>
            </w:r>
          </w:p>
        </w:tc>
      </w:tr>
      <w:tr w:rsidR="00814D1D" w:rsidRPr="00814D1D" w:rsidTr="00CE1D3D">
        <w:trPr>
          <w:tblCellSpacing w:w="15" w:type="dxa"/>
        </w:trPr>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TypeScript</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Experimental</w:t>
            </w:r>
          </w:p>
        </w:tc>
        <w:tc>
          <w:tcPr>
            <w:tcW w:w="0" w:type="auto"/>
            <w:vAlign w:val="center"/>
            <w:hideMark/>
          </w:tcPr>
          <w:p w:rsidR="00814D1D" w:rsidRPr="00814D1D" w:rsidRDefault="00814D1D" w:rsidP="00814D1D">
            <w:pPr>
              <w:spacing w:after="0" w:line="240" w:lineRule="auto"/>
              <w:rPr>
                <w:rFonts w:asciiTheme="majorHAnsi" w:eastAsia="Times New Roman" w:hAnsiTheme="majorHAnsi" w:cstheme="majorHAnsi"/>
                <w:szCs w:val="24"/>
                <w:lang w:eastAsia="en-IN"/>
              </w:rPr>
            </w:pPr>
            <w:r w:rsidRPr="00814D1D">
              <w:rPr>
                <w:rFonts w:asciiTheme="majorHAnsi" w:eastAsia="Times New Roman" w:hAnsiTheme="majorHAnsi" w:cstheme="majorHAnsi"/>
                <w:szCs w:val="24"/>
                <w:lang w:eastAsia="en-IN"/>
              </w:rPr>
              <w:t>Not Supported</w:t>
            </w:r>
          </w:p>
        </w:tc>
      </w:tr>
    </w:tbl>
    <w:p w:rsidR="00CE1D3D" w:rsidRPr="00CE1D3D" w:rsidRDefault="00CE1D3D">
      <w:pPr>
        <w:rPr>
          <w:rFonts w:asciiTheme="majorHAnsi" w:hAnsiTheme="majorHAnsi" w:cstheme="majorHAnsi"/>
          <w:sz w:val="20"/>
        </w:rPr>
      </w:pPr>
    </w:p>
    <w:p w:rsidR="00CE1D3D" w:rsidRPr="00CE1D3D" w:rsidRDefault="00CE1D3D" w:rsidP="00CE1D3D">
      <w:pPr>
        <w:rPr>
          <w:rFonts w:asciiTheme="majorHAnsi" w:hAnsiTheme="majorHAnsi" w:cstheme="majorHAnsi"/>
          <w:sz w:val="20"/>
        </w:rPr>
      </w:pPr>
      <w:r w:rsidRPr="00CE1D3D">
        <w:rPr>
          <w:rFonts w:asciiTheme="majorHAnsi" w:hAnsiTheme="majorHAnsi" w:cstheme="majorHAnsi"/>
          <w:sz w:val="20"/>
        </w:rPr>
        <w:br w:type="page"/>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6"/>
        <w:gridCol w:w="4008"/>
        <w:gridCol w:w="3302"/>
      </w:tblGrid>
      <w:tr w:rsidR="00CE1D3D" w:rsidRPr="00CE1D3D" w:rsidTr="00CE1D3D">
        <w:trPr>
          <w:tblHeader/>
          <w:tblCellSpacing w:w="15" w:type="dxa"/>
        </w:trPr>
        <w:tc>
          <w:tcPr>
            <w:tcW w:w="0" w:type="auto"/>
            <w:vAlign w:val="center"/>
            <w:hideMark/>
          </w:tcPr>
          <w:p w:rsidR="00CE1D3D" w:rsidRPr="00CE1D3D" w:rsidRDefault="00CE1D3D" w:rsidP="00CE1D3D">
            <w:pPr>
              <w:spacing w:after="0" w:line="240" w:lineRule="auto"/>
              <w:jc w:val="center"/>
              <w:rPr>
                <w:rFonts w:asciiTheme="majorHAnsi" w:eastAsia="Times New Roman" w:hAnsiTheme="majorHAnsi" w:cstheme="majorHAnsi"/>
                <w:b/>
                <w:bCs/>
                <w:szCs w:val="24"/>
                <w:lang w:eastAsia="en-IN"/>
              </w:rPr>
            </w:pPr>
            <w:r w:rsidRPr="00CE1D3D">
              <w:rPr>
                <w:rFonts w:asciiTheme="majorHAnsi" w:eastAsia="Times New Roman" w:hAnsiTheme="majorHAnsi" w:cstheme="majorHAnsi"/>
                <w:b/>
                <w:bCs/>
                <w:szCs w:val="24"/>
                <w:lang w:eastAsia="en-IN"/>
              </w:rPr>
              <w:lastRenderedPageBreak/>
              <w:t>Area</w:t>
            </w:r>
          </w:p>
        </w:tc>
        <w:tc>
          <w:tcPr>
            <w:tcW w:w="0" w:type="auto"/>
            <w:vAlign w:val="center"/>
            <w:hideMark/>
          </w:tcPr>
          <w:p w:rsidR="00CE1D3D" w:rsidRPr="00CE1D3D" w:rsidRDefault="00CE1D3D" w:rsidP="00CE1D3D">
            <w:pPr>
              <w:spacing w:after="0" w:line="240" w:lineRule="auto"/>
              <w:jc w:val="center"/>
              <w:rPr>
                <w:rFonts w:asciiTheme="majorHAnsi" w:eastAsia="Times New Roman" w:hAnsiTheme="majorHAnsi" w:cstheme="majorHAnsi"/>
                <w:b/>
                <w:bCs/>
                <w:szCs w:val="24"/>
                <w:lang w:eastAsia="en-IN"/>
              </w:rPr>
            </w:pPr>
            <w:r w:rsidRPr="00CE1D3D">
              <w:rPr>
                <w:rFonts w:asciiTheme="majorHAnsi" w:eastAsia="Times New Roman" w:hAnsiTheme="majorHAnsi" w:cstheme="majorHAnsi"/>
                <w:b/>
                <w:bCs/>
                <w:szCs w:val="24"/>
                <w:lang w:eastAsia="en-IN"/>
              </w:rPr>
              <w:t>IoT Hub</w:t>
            </w:r>
          </w:p>
        </w:tc>
        <w:tc>
          <w:tcPr>
            <w:tcW w:w="0" w:type="auto"/>
            <w:vAlign w:val="center"/>
            <w:hideMark/>
          </w:tcPr>
          <w:p w:rsidR="00CE1D3D" w:rsidRPr="00CE1D3D" w:rsidRDefault="00CE1D3D" w:rsidP="00CE1D3D">
            <w:pPr>
              <w:spacing w:after="0" w:line="240" w:lineRule="auto"/>
              <w:jc w:val="center"/>
              <w:rPr>
                <w:rFonts w:asciiTheme="majorHAnsi" w:eastAsia="Times New Roman" w:hAnsiTheme="majorHAnsi" w:cstheme="majorHAnsi"/>
                <w:b/>
                <w:bCs/>
                <w:szCs w:val="24"/>
                <w:lang w:eastAsia="en-IN"/>
              </w:rPr>
            </w:pPr>
            <w:r w:rsidRPr="00CE1D3D">
              <w:rPr>
                <w:rFonts w:asciiTheme="majorHAnsi" w:eastAsia="Times New Roman" w:hAnsiTheme="majorHAnsi" w:cstheme="majorHAnsi"/>
                <w:b/>
                <w:bCs/>
                <w:szCs w:val="24"/>
                <w:lang w:eastAsia="en-IN"/>
              </w:rPr>
              <w:t>Event Hubs</w:t>
            </w:r>
          </w:p>
        </w:tc>
      </w:tr>
      <w:tr w:rsidR="00CE1D3D" w:rsidRPr="00CE1D3D" w:rsidTr="00CE1D3D">
        <w:trPr>
          <w:tblCellSpacing w:w="15" w:type="dxa"/>
        </w:trPr>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Communication patterns</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 xml:space="preserve">Enables </w:t>
            </w:r>
            <w:hyperlink r:id="rId14" w:history="1">
              <w:r w:rsidRPr="00CE1D3D">
                <w:rPr>
                  <w:rFonts w:asciiTheme="majorHAnsi" w:eastAsia="Times New Roman" w:hAnsiTheme="majorHAnsi" w:cstheme="majorHAnsi"/>
                  <w:color w:val="0000FF"/>
                  <w:szCs w:val="24"/>
                  <w:u w:val="single"/>
                  <w:lang w:eastAsia="en-IN"/>
                </w:rPr>
                <w:t>device-to-cloud communications</w:t>
              </w:r>
            </w:hyperlink>
            <w:r w:rsidRPr="00CE1D3D">
              <w:rPr>
                <w:rFonts w:asciiTheme="majorHAnsi" w:eastAsia="Times New Roman" w:hAnsiTheme="majorHAnsi" w:cstheme="majorHAnsi"/>
                <w:szCs w:val="24"/>
                <w:lang w:eastAsia="en-IN"/>
              </w:rPr>
              <w:t xml:space="preserve"> (messaging, file uploads, and reported properties) and </w:t>
            </w:r>
            <w:hyperlink r:id="rId15" w:history="1">
              <w:r w:rsidRPr="00CE1D3D">
                <w:rPr>
                  <w:rFonts w:asciiTheme="majorHAnsi" w:eastAsia="Times New Roman" w:hAnsiTheme="majorHAnsi" w:cstheme="majorHAnsi"/>
                  <w:color w:val="0000FF"/>
                  <w:szCs w:val="24"/>
                  <w:u w:val="single"/>
                  <w:lang w:eastAsia="en-IN"/>
                </w:rPr>
                <w:t>cloud-to-device communications</w:t>
              </w:r>
            </w:hyperlink>
            <w:r w:rsidRPr="00CE1D3D">
              <w:rPr>
                <w:rFonts w:asciiTheme="majorHAnsi" w:eastAsia="Times New Roman" w:hAnsiTheme="majorHAnsi" w:cstheme="majorHAnsi"/>
                <w:szCs w:val="24"/>
                <w:lang w:eastAsia="en-IN"/>
              </w:rPr>
              <w:t xml:space="preserve"> (direct methods, desired properties, messaging).</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Only enables event ingress (usually considered for device-to-cloud scenarios).</w:t>
            </w:r>
          </w:p>
        </w:tc>
      </w:tr>
      <w:tr w:rsidR="00CE1D3D" w:rsidRPr="00CE1D3D" w:rsidTr="00CE1D3D">
        <w:trPr>
          <w:tblCellSpacing w:w="15" w:type="dxa"/>
        </w:trPr>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Device state information</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hyperlink r:id="rId16" w:history="1">
              <w:r w:rsidRPr="00CE1D3D">
                <w:rPr>
                  <w:rFonts w:asciiTheme="majorHAnsi" w:eastAsia="Times New Roman" w:hAnsiTheme="majorHAnsi" w:cstheme="majorHAnsi"/>
                  <w:color w:val="0000FF"/>
                  <w:szCs w:val="24"/>
                  <w:u w:val="single"/>
                  <w:lang w:eastAsia="en-IN"/>
                </w:rPr>
                <w:t>Device twins</w:t>
              </w:r>
            </w:hyperlink>
            <w:r w:rsidRPr="00CE1D3D">
              <w:rPr>
                <w:rFonts w:asciiTheme="majorHAnsi" w:eastAsia="Times New Roman" w:hAnsiTheme="majorHAnsi" w:cstheme="majorHAnsi"/>
                <w:szCs w:val="24"/>
                <w:lang w:eastAsia="en-IN"/>
              </w:rPr>
              <w:t xml:space="preserve"> can store and query device state information.</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No device state information can be stored.</w:t>
            </w:r>
          </w:p>
        </w:tc>
      </w:tr>
      <w:tr w:rsidR="00CE1D3D" w:rsidRPr="00CE1D3D" w:rsidTr="00CE1D3D">
        <w:trPr>
          <w:tblCellSpacing w:w="15" w:type="dxa"/>
        </w:trPr>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Device protocol support</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 xml:space="preserve">Supports MQTT, MQTT over </w:t>
            </w:r>
            <w:proofErr w:type="spellStart"/>
            <w:r w:rsidRPr="00CE1D3D">
              <w:rPr>
                <w:rFonts w:asciiTheme="majorHAnsi" w:eastAsia="Times New Roman" w:hAnsiTheme="majorHAnsi" w:cstheme="majorHAnsi"/>
                <w:szCs w:val="24"/>
                <w:lang w:eastAsia="en-IN"/>
              </w:rPr>
              <w:t>WebSockets</w:t>
            </w:r>
            <w:proofErr w:type="spellEnd"/>
            <w:r w:rsidRPr="00CE1D3D">
              <w:rPr>
                <w:rFonts w:asciiTheme="majorHAnsi" w:eastAsia="Times New Roman" w:hAnsiTheme="majorHAnsi" w:cstheme="majorHAnsi"/>
                <w:szCs w:val="24"/>
                <w:lang w:eastAsia="en-IN"/>
              </w:rPr>
              <w:t xml:space="preserve">, AMQP, AMQP over </w:t>
            </w:r>
            <w:proofErr w:type="spellStart"/>
            <w:r w:rsidRPr="00CE1D3D">
              <w:rPr>
                <w:rFonts w:asciiTheme="majorHAnsi" w:eastAsia="Times New Roman" w:hAnsiTheme="majorHAnsi" w:cstheme="majorHAnsi"/>
                <w:szCs w:val="24"/>
                <w:lang w:eastAsia="en-IN"/>
              </w:rPr>
              <w:t>WebSockets</w:t>
            </w:r>
            <w:proofErr w:type="spellEnd"/>
            <w:r w:rsidRPr="00CE1D3D">
              <w:rPr>
                <w:rFonts w:asciiTheme="majorHAnsi" w:eastAsia="Times New Roman" w:hAnsiTheme="majorHAnsi" w:cstheme="majorHAnsi"/>
                <w:szCs w:val="24"/>
                <w:lang w:eastAsia="en-IN"/>
              </w:rPr>
              <w:t xml:space="preserve">, and HTTPS. Additionally, IoT Hub works with the </w:t>
            </w:r>
            <w:hyperlink r:id="rId17" w:history="1">
              <w:r w:rsidRPr="00CE1D3D">
                <w:rPr>
                  <w:rFonts w:asciiTheme="majorHAnsi" w:eastAsia="Times New Roman" w:hAnsiTheme="majorHAnsi" w:cstheme="majorHAnsi"/>
                  <w:color w:val="0000FF"/>
                  <w:szCs w:val="24"/>
                  <w:u w:val="single"/>
                  <w:lang w:eastAsia="en-IN"/>
                </w:rPr>
                <w:t>Azure IoT protocol gateway</w:t>
              </w:r>
            </w:hyperlink>
            <w:r w:rsidRPr="00CE1D3D">
              <w:rPr>
                <w:rFonts w:asciiTheme="majorHAnsi" w:eastAsia="Times New Roman" w:hAnsiTheme="majorHAnsi" w:cstheme="majorHAnsi"/>
                <w:szCs w:val="24"/>
                <w:lang w:eastAsia="en-IN"/>
              </w:rPr>
              <w:t>, a customizable protocol gateway implementation to support custom protocols.</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 xml:space="preserve">Supports AMQP, AMQP over </w:t>
            </w:r>
            <w:proofErr w:type="spellStart"/>
            <w:r w:rsidRPr="00CE1D3D">
              <w:rPr>
                <w:rFonts w:asciiTheme="majorHAnsi" w:eastAsia="Times New Roman" w:hAnsiTheme="majorHAnsi" w:cstheme="majorHAnsi"/>
                <w:szCs w:val="24"/>
                <w:lang w:eastAsia="en-IN"/>
              </w:rPr>
              <w:t>WebSockets</w:t>
            </w:r>
            <w:proofErr w:type="spellEnd"/>
            <w:r w:rsidRPr="00CE1D3D">
              <w:rPr>
                <w:rFonts w:asciiTheme="majorHAnsi" w:eastAsia="Times New Roman" w:hAnsiTheme="majorHAnsi" w:cstheme="majorHAnsi"/>
                <w:szCs w:val="24"/>
                <w:lang w:eastAsia="en-IN"/>
              </w:rPr>
              <w:t>, and HTTPS.</w:t>
            </w:r>
          </w:p>
        </w:tc>
      </w:tr>
      <w:tr w:rsidR="00CE1D3D" w:rsidRPr="00CE1D3D" w:rsidTr="00CE1D3D">
        <w:trPr>
          <w:tblCellSpacing w:w="15" w:type="dxa"/>
        </w:trPr>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Security</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 xml:space="preserve">Provides per-device identity and revocable access control. See the </w:t>
            </w:r>
            <w:hyperlink r:id="rId18" w:history="1">
              <w:r w:rsidRPr="00CE1D3D">
                <w:rPr>
                  <w:rFonts w:asciiTheme="majorHAnsi" w:eastAsia="Times New Roman" w:hAnsiTheme="majorHAnsi" w:cstheme="majorHAnsi"/>
                  <w:color w:val="0000FF"/>
                  <w:szCs w:val="24"/>
                  <w:u w:val="single"/>
                  <w:lang w:eastAsia="en-IN"/>
                </w:rPr>
                <w:t>Security section of the IoT Hub developer guide</w:t>
              </w:r>
            </w:hyperlink>
            <w:r w:rsidRPr="00CE1D3D">
              <w:rPr>
                <w:rFonts w:asciiTheme="majorHAnsi" w:eastAsia="Times New Roman" w:hAnsiTheme="majorHAnsi" w:cstheme="majorHAnsi"/>
                <w:szCs w:val="24"/>
                <w:lang w:eastAsia="en-IN"/>
              </w:rPr>
              <w:t>.</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 xml:space="preserve">Provides Event Hubs-wide </w:t>
            </w:r>
            <w:hyperlink r:id="rId19" w:history="1">
              <w:r w:rsidRPr="00CE1D3D">
                <w:rPr>
                  <w:rFonts w:asciiTheme="majorHAnsi" w:eastAsia="Times New Roman" w:hAnsiTheme="majorHAnsi" w:cstheme="majorHAnsi"/>
                  <w:color w:val="0000FF"/>
                  <w:szCs w:val="24"/>
                  <w:u w:val="single"/>
                  <w:lang w:eastAsia="en-IN"/>
                </w:rPr>
                <w:t>shared access policies</w:t>
              </w:r>
            </w:hyperlink>
            <w:r w:rsidRPr="00CE1D3D">
              <w:rPr>
                <w:rFonts w:asciiTheme="majorHAnsi" w:eastAsia="Times New Roman" w:hAnsiTheme="majorHAnsi" w:cstheme="majorHAnsi"/>
                <w:szCs w:val="24"/>
                <w:lang w:eastAsia="en-IN"/>
              </w:rPr>
              <w:t xml:space="preserve">, with limited revocation support through </w:t>
            </w:r>
            <w:hyperlink r:id="rId20" w:anchor="event-publishers" w:history="1">
              <w:r w:rsidRPr="00CE1D3D">
                <w:rPr>
                  <w:rFonts w:asciiTheme="majorHAnsi" w:eastAsia="Times New Roman" w:hAnsiTheme="majorHAnsi" w:cstheme="majorHAnsi"/>
                  <w:color w:val="0000FF"/>
                  <w:szCs w:val="24"/>
                  <w:u w:val="single"/>
                  <w:lang w:eastAsia="en-IN"/>
                </w:rPr>
                <w:t>publisher's policies</w:t>
              </w:r>
            </w:hyperlink>
            <w:r w:rsidRPr="00CE1D3D">
              <w:rPr>
                <w:rFonts w:asciiTheme="majorHAnsi" w:eastAsia="Times New Roman" w:hAnsiTheme="majorHAnsi" w:cstheme="majorHAnsi"/>
                <w:szCs w:val="24"/>
                <w:lang w:eastAsia="en-IN"/>
              </w:rPr>
              <w:t>. IoT solutions are often required to implement a custom solution to support per-device credentials and anti-spoofing measures.</w:t>
            </w:r>
          </w:p>
        </w:tc>
      </w:tr>
      <w:tr w:rsidR="00CE1D3D" w:rsidRPr="00CE1D3D" w:rsidTr="00CE1D3D">
        <w:trPr>
          <w:tblCellSpacing w:w="15" w:type="dxa"/>
        </w:trPr>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Operations monitoring</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Enables IoT solutions to subscribe to a rich set of device identity management and connectivity events such as individual device authentication errors, throttling, and bad format exceptions. These events enable you to quickly identify connectivity problems at the individual device level.</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Exposes only aggregate metrics.</w:t>
            </w:r>
          </w:p>
        </w:tc>
      </w:tr>
      <w:tr w:rsidR="00CE1D3D" w:rsidRPr="00CE1D3D" w:rsidTr="00CE1D3D">
        <w:trPr>
          <w:tblCellSpacing w:w="15" w:type="dxa"/>
        </w:trPr>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Scale</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Is optimized to support millions of simultaneously connected devices.</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 xml:space="preserve">Meters the connections as per </w:t>
            </w:r>
            <w:hyperlink r:id="rId21" w:history="1">
              <w:r w:rsidRPr="00CE1D3D">
                <w:rPr>
                  <w:rFonts w:asciiTheme="majorHAnsi" w:eastAsia="Times New Roman" w:hAnsiTheme="majorHAnsi" w:cstheme="majorHAnsi"/>
                  <w:color w:val="0000FF"/>
                  <w:szCs w:val="24"/>
                  <w:u w:val="single"/>
                  <w:lang w:eastAsia="en-IN"/>
                </w:rPr>
                <w:t>Azure Event Hubs quotas</w:t>
              </w:r>
            </w:hyperlink>
            <w:r w:rsidRPr="00CE1D3D">
              <w:rPr>
                <w:rFonts w:asciiTheme="majorHAnsi" w:eastAsia="Times New Roman" w:hAnsiTheme="majorHAnsi" w:cstheme="majorHAnsi"/>
                <w:szCs w:val="24"/>
                <w:lang w:eastAsia="en-IN"/>
              </w:rPr>
              <w:t>. On the other hand, Event Hubs enables you to specify the partition for each message sent.</w:t>
            </w:r>
          </w:p>
        </w:tc>
      </w:tr>
      <w:tr w:rsidR="00CE1D3D" w:rsidRPr="00CE1D3D" w:rsidTr="00CE1D3D">
        <w:trPr>
          <w:tblCellSpacing w:w="15" w:type="dxa"/>
        </w:trPr>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Device SDKs</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 xml:space="preserve">Provides </w:t>
            </w:r>
            <w:hyperlink r:id="rId22" w:history="1">
              <w:r w:rsidRPr="00CE1D3D">
                <w:rPr>
                  <w:rFonts w:asciiTheme="majorHAnsi" w:eastAsia="Times New Roman" w:hAnsiTheme="majorHAnsi" w:cstheme="majorHAnsi"/>
                  <w:color w:val="0000FF"/>
                  <w:szCs w:val="24"/>
                  <w:u w:val="single"/>
                  <w:lang w:eastAsia="en-IN"/>
                </w:rPr>
                <w:t>device SDKs</w:t>
              </w:r>
            </w:hyperlink>
            <w:r w:rsidRPr="00CE1D3D">
              <w:rPr>
                <w:rFonts w:asciiTheme="majorHAnsi" w:eastAsia="Times New Roman" w:hAnsiTheme="majorHAnsi" w:cstheme="majorHAnsi"/>
                <w:szCs w:val="24"/>
                <w:lang w:eastAsia="en-IN"/>
              </w:rPr>
              <w:t xml:space="preserve"> for a large variety of platforms and languages, in addition to direct MQTT, AMQP, and HTTPS APIs.</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Is supported on .NET, Java, and C, in addition to AMQP and HTTPS send interfaces.</w:t>
            </w:r>
          </w:p>
        </w:tc>
      </w:tr>
      <w:tr w:rsidR="00CE1D3D" w:rsidRPr="00CE1D3D" w:rsidTr="00CE1D3D">
        <w:trPr>
          <w:tblCellSpacing w:w="15" w:type="dxa"/>
        </w:trPr>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File upload</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Enables IoT solutions to upload files from devices to the cloud. Includes a file notification endpoint for workflow integration and an operations monitoring category for debugging support.</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Not supported.</w:t>
            </w:r>
          </w:p>
        </w:tc>
      </w:tr>
      <w:tr w:rsidR="00CE1D3D" w:rsidRPr="00CE1D3D" w:rsidTr="00CE1D3D">
        <w:trPr>
          <w:tblCellSpacing w:w="15" w:type="dxa"/>
        </w:trPr>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Route messages to multiple endpoints</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 xml:space="preserve">Up to 10 custom endpoints are supported. Rules determine how messages are routed to custom endpoints. For more information, see </w:t>
            </w:r>
            <w:hyperlink r:id="rId23" w:history="1">
              <w:r w:rsidRPr="00CE1D3D">
                <w:rPr>
                  <w:rFonts w:asciiTheme="majorHAnsi" w:eastAsia="Times New Roman" w:hAnsiTheme="majorHAnsi" w:cstheme="majorHAnsi"/>
                  <w:color w:val="0000FF"/>
                  <w:szCs w:val="24"/>
                  <w:u w:val="single"/>
                  <w:lang w:eastAsia="en-IN"/>
                </w:rPr>
                <w:t>Send and receive messages with IoT Hub</w:t>
              </w:r>
            </w:hyperlink>
            <w:r w:rsidRPr="00CE1D3D">
              <w:rPr>
                <w:rFonts w:asciiTheme="majorHAnsi" w:eastAsia="Times New Roman" w:hAnsiTheme="majorHAnsi" w:cstheme="majorHAnsi"/>
                <w:szCs w:val="24"/>
                <w:lang w:eastAsia="en-IN"/>
              </w:rPr>
              <w:t>.</w:t>
            </w:r>
          </w:p>
        </w:tc>
        <w:tc>
          <w:tcPr>
            <w:tcW w:w="0" w:type="auto"/>
            <w:vAlign w:val="center"/>
            <w:hideMark/>
          </w:tcPr>
          <w:p w:rsidR="00CE1D3D" w:rsidRPr="00CE1D3D" w:rsidRDefault="00CE1D3D" w:rsidP="00CE1D3D">
            <w:pPr>
              <w:spacing w:after="0"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Requires additional code to be written and hosted for message dispatching.</w:t>
            </w:r>
          </w:p>
        </w:tc>
      </w:tr>
    </w:tbl>
    <w:p w:rsidR="00CE1D3D" w:rsidRPr="00CE1D3D" w:rsidRDefault="00CE1D3D" w:rsidP="00CE1D3D">
      <w:pPr>
        <w:spacing w:before="100" w:beforeAutospacing="1" w:after="100" w:afterAutospacing="1"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lastRenderedPageBreak/>
        <w:t>In summary, even if the only use case is device-to-cloud telemetry ingress, IoT Hub provides a service that is designed for IoT device connectivity. It continues to expand the value propositions for these scenarios with IoT-specific features. Event Hubs is designed for event ingress at a massive scale, both in the context of inter-</w:t>
      </w:r>
      <w:proofErr w:type="spellStart"/>
      <w:r w:rsidRPr="00CE1D3D">
        <w:rPr>
          <w:rFonts w:asciiTheme="majorHAnsi" w:eastAsia="Times New Roman" w:hAnsiTheme="majorHAnsi" w:cstheme="majorHAnsi"/>
          <w:szCs w:val="24"/>
          <w:lang w:eastAsia="en-IN"/>
        </w:rPr>
        <w:t>datacenter</w:t>
      </w:r>
      <w:proofErr w:type="spellEnd"/>
      <w:r w:rsidRPr="00CE1D3D">
        <w:rPr>
          <w:rFonts w:asciiTheme="majorHAnsi" w:eastAsia="Times New Roman" w:hAnsiTheme="majorHAnsi" w:cstheme="majorHAnsi"/>
          <w:szCs w:val="24"/>
          <w:lang w:eastAsia="en-IN"/>
        </w:rPr>
        <w:t xml:space="preserve"> and intra-</w:t>
      </w:r>
      <w:proofErr w:type="spellStart"/>
      <w:r w:rsidRPr="00CE1D3D">
        <w:rPr>
          <w:rFonts w:asciiTheme="majorHAnsi" w:eastAsia="Times New Roman" w:hAnsiTheme="majorHAnsi" w:cstheme="majorHAnsi"/>
          <w:szCs w:val="24"/>
          <w:lang w:eastAsia="en-IN"/>
        </w:rPr>
        <w:t>datacenter</w:t>
      </w:r>
      <w:proofErr w:type="spellEnd"/>
      <w:r w:rsidRPr="00CE1D3D">
        <w:rPr>
          <w:rFonts w:asciiTheme="majorHAnsi" w:eastAsia="Times New Roman" w:hAnsiTheme="majorHAnsi" w:cstheme="majorHAnsi"/>
          <w:szCs w:val="24"/>
          <w:lang w:eastAsia="en-IN"/>
        </w:rPr>
        <w:t xml:space="preserve"> scenarios. </w:t>
      </w:r>
    </w:p>
    <w:p w:rsidR="00CE1D3D" w:rsidRPr="00CE1D3D" w:rsidRDefault="00CE1D3D" w:rsidP="00CE1D3D">
      <w:pPr>
        <w:spacing w:before="100" w:beforeAutospacing="1" w:after="100" w:afterAutospacing="1" w:line="240" w:lineRule="auto"/>
        <w:rPr>
          <w:rFonts w:asciiTheme="majorHAnsi" w:eastAsia="Times New Roman" w:hAnsiTheme="majorHAnsi" w:cstheme="majorHAnsi"/>
          <w:szCs w:val="24"/>
          <w:lang w:eastAsia="en-IN"/>
        </w:rPr>
      </w:pPr>
      <w:r w:rsidRPr="00CE1D3D">
        <w:rPr>
          <w:rFonts w:asciiTheme="majorHAnsi" w:eastAsia="Times New Roman" w:hAnsiTheme="majorHAnsi" w:cstheme="majorHAnsi"/>
          <w:szCs w:val="24"/>
          <w:lang w:eastAsia="en-IN"/>
        </w:rPr>
        <w:t>It is not uncommon to use both IoT Hub and Event Hubs in the same solution. IoT Hub handles the device-to-cloud communication, and Event Hubs handles later-stage event ingress into real-time processing engines.</w:t>
      </w:r>
    </w:p>
    <w:p w:rsidR="001A1723" w:rsidRPr="00CE1D3D" w:rsidRDefault="001A1723">
      <w:pPr>
        <w:rPr>
          <w:rFonts w:asciiTheme="majorHAnsi" w:hAnsiTheme="majorHAnsi" w:cstheme="majorHAnsi"/>
          <w:sz w:val="20"/>
        </w:rPr>
      </w:pPr>
    </w:p>
    <w:sectPr w:rsidR="001A1723" w:rsidRPr="00CE1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1D"/>
    <w:rsid w:val="001A1723"/>
    <w:rsid w:val="006C0228"/>
    <w:rsid w:val="00814D1D"/>
    <w:rsid w:val="00CE1D3D"/>
    <w:rsid w:val="00E86218"/>
    <w:rsid w:val="00F44DBD"/>
    <w:rsid w:val="00FE5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A1C7"/>
  <w15:chartTrackingRefBased/>
  <w15:docId w15:val="{926C50C3-3747-4632-B007-DDCC5155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f-text-block">
    <w:name w:val="lf-text-block"/>
    <w:basedOn w:val="Normal"/>
    <w:rsid w:val="00814D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f-thread-btn">
    <w:name w:val="lf-thread-btn"/>
    <w:basedOn w:val="DefaultParagraphFont"/>
    <w:rsid w:val="00814D1D"/>
  </w:style>
  <w:style w:type="character" w:styleId="Hyperlink">
    <w:name w:val="Hyperlink"/>
    <w:basedOn w:val="DefaultParagraphFont"/>
    <w:uiPriority w:val="99"/>
    <w:semiHidden/>
    <w:unhideWhenUsed/>
    <w:rsid w:val="00814D1D"/>
    <w:rPr>
      <w:color w:val="0000FF"/>
      <w:u w:val="single"/>
    </w:rPr>
  </w:style>
  <w:style w:type="paragraph" w:styleId="Title">
    <w:name w:val="Title"/>
    <w:basedOn w:val="Normal"/>
    <w:next w:val="Normal"/>
    <w:link w:val="TitleChar"/>
    <w:uiPriority w:val="10"/>
    <w:qFormat/>
    <w:rsid w:val="00FE5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9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844728">
      <w:bodyDiv w:val="1"/>
      <w:marLeft w:val="0"/>
      <w:marRight w:val="0"/>
      <w:marTop w:val="0"/>
      <w:marBottom w:val="0"/>
      <w:divBdr>
        <w:top w:val="none" w:sz="0" w:space="0" w:color="auto"/>
        <w:left w:val="none" w:sz="0" w:space="0" w:color="auto"/>
        <w:bottom w:val="none" w:sz="0" w:space="0" w:color="auto"/>
        <w:right w:val="none" w:sz="0" w:space="0" w:color="auto"/>
      </w:divBdr>
    </w:div>
    <w:div w:id="101345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functions/functions-bindings-mobile-apps" TargetMode="External"/><Relationship Id="rId13" Type="http://schemas.openxmlformats.org/officeDocument/2006/relationships/hyperlink" Target="https://docs.microsoft.com/en-us/azure/azure-functions/functions-bindings-service-bus" TargetMode="External"/><Relationship Id="rId18" Type="http://schemas.openxmlformats.org/officeDocument/2006/relationships/hyperlink" Target="https://docs.microsoft.com/en-us/azure/iot-hub/iot-hub-devguide-security" TargetMode="External"/><Relationship Id="rId3" Type="http://schemas.openxmlformats.org/officeDocument/2006/relationships/webSettings" Target="webSettings.xml"/><Relationship Id="rId21" Type="http://schemas.openxmlformats.org/officeDocument/2006/relationships/hyperlink" Target="https://docs.microsoft.com/en-us/azure/event-hubs/event-hubs-quotas" TargetMode="External"/><Relationship Id="rId7" Type="http://schemas.openxmlformats.org/officeDocument/2006/relationships/hyperlink" Target="https://docs.microsoft.com/en-us/azure/azure-functions/functions-bindings-http-webhook" TargetMode="External"/><Relationship Id="rId12" Type="http://schemas.openxmlformats.org/officeDocument/2006/relationships/hyperlink" Target="https://docs.microsoft.com/en-us/azure/azure-functions/functions-bindings-storage-blob" TargetMode="External"/><Relationship Id="rId17" Type="http://schemas.openxmlformats.org/officeDocument/2006/relationships/hyperlink" Target="https://docs.microsoft.com/en-us/azure/iot-hub/iot-hub-protocol-gateway"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cs.microsoft.com/en-us/azure/iot-hub/iot-hub-devguide-device-twins" TargetMode="External"/><Relationship Id="rId20" Type="http://schemas.openxmlformats.org/officeDocument/2006/relationships/hyperlink" Target="https://docs.microsoft.com/en-us/azure/event-hubs/event-hubs-features" TargetMode="External"/><Relationship Id="rId1" Type="http://schemas.openxmlformats.org/officeDocument/2006/relationships/styles" Target="styles.xml"/><Relationship Id="rId6" Type="http://schemas.openxmlformats.org/officeDocument/2006/relationships/hyperlink" Target="https://docs.microsoft.com/en-us/azure/azure-functions/functions-bindings-event-hubs" TargetMode="External"/><Relationship Id="rId11" Type="http://schemas.openxmlformats.org/officeDocument/2006/relationships/hyperlink" Target="https://docs.microsoft.com/en-us/azure/azure-functions/functions-bindings-service-bus" TargetMode="External"/><Relationship Id="rId24" Type="http://schemas.openxmlformats.org/officeDocument/2006/relationships/fontTable" Target="fontTable.xml"/><Relationship Id="rId5" Type="http://schemas.openxmlformats.org/officeDocument/2006/relationships/hyperlink" Target="https://docs.microsoft.com/en-us/azure/azure-functions/functions-bindings-documentdb" TargetMode="External"/><Relationship Id="rId15" Type="http://schemas.openxmlformats.org/officeDocument/2006/relationships/hyperlink" Target="https://docs.microsoft.com/en-us/azure/iot-hub/iot-hub-devguide-c2d-guidance" TargetMode="External"/><Relationship Id="rId23" Type="http://schemas.openxmlformats.org/officeDocument/2006/relationships/hyperlink" Target="https://docs.microsoft.com/en-us/azure/iot-hub/iot-hub-devguide-messaging" TargetMode="External"/><Relationship Id="rId10" Type="http://schemas.openxmlformats.org/officeDocument/2006/relationships/hyperlink" Target="https://docs.microsoft.com/en-us/azure/azure-functions/functions-bindings-storage-blob" TargetMode="External"/><Relationship Id="rId19" Type="http://schemas.openxmlformats.org/officeDocument/2006/relationships/hyperlink" Target="https://docs.microsoft.com/en-us/azure/event-hubs/event-hubs-authentication-and-security-model-overview" TargetMode="External"/><Relationship Id="rId4" Type="http://schemas.openxmlformats.org/officeDocument/2006/relationships/hyperlink" Target="https://docs.microsoft.com/en-us/azure/azure-functions/functions-bindings-timer" TargetMode="External"/><Relationship Id="rId9" Type="http://schemas.openxmlformats.org/officeDocument/2006/relationships/hyperlink" Target="https://docs.microsoft.com/en-us/azure/azure-functions/functions-bindings-event-hubs" TargetMode="External"/><Relationship Id="rId14" Type="http://schemas.openxmlformats.org/officeDocument/2006/relationships/hyperlink" Target="https://docs.microsoft.com/en-us/azure/iot-hub/iot-hub-devguide-d2c-guidance" TargetMode="External"/><Relationship Id="rId22" Type="http://schemas.openxmlformats.org/officeDocument/2006/relationships/hyperlink" Target="https://github.com/Azure/azure-iot-sd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Soni</dc:creator>
  <cp:keywords/>
  <dc:description/>
  <cp:lastModifiedBy>Hardik Soni</cp:lastModifiedBy>
  <cp:revision>1</cp:revision>
  <dcterms:created xsi:type="dcterms:W3CDTF">2017-12-17T06:58:00Z</dcterms:created>
  <dcterms:modified xsi:type="dcterms:W3CDTF">2017-12-17T19:06:00Z</dcterms:modified>
</cp:coreProperties>
</file>