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4E5F"/>
          <w:sz w:val="34"/>
          <w:szCs w:val="34"/>
        </w:rPr>
        <w:t xml:space="preserve">TREASURY RISK SUMMARY</w:t>
      </w:r>
    </w:p>
    <w:p>
      <w:pPr>
        <w:spacing w:after="160"/>
      </w:pPr>
      <w:r>
        <w:rPr>
          <w:color w:val="666666"/>
          <w:sz w:val="20"/>
          <w:szCs w:val="20"/>
        </w:rPr>
        <w:t xml:space="preserve">CIO, Treasury &amp; Corporate (CTC) Risk</w:t>
      </w:r>
      <w:r>
        <w:rPr>
          <w:color w:val="666666"/>
          <w:sz w:val="20"/>
          <w:szCs w:val="20"/>
        </w:rPr>
        <w:t xml:space="preserve">   |   </w:t>
      </w:r>
      <w:r>
        <w:rPr>
          <w:color w:val="666666"/>
          <w:sz w:val="20"/>
          <w:szCs w:val="20"/>
        </w:rPr>
        <w:t xml:space="preserve">Reporting Date: 31-Mar-2026</w:t>
      </w:r>
      <w:r>
        <w:rPr>
          <w:color w:val="666666"/>
          <w:sz w:val="20"/>
          <w:szCs w:val="20"/>
        </w:rPr>
        <w:t xml:space="preserve">   |   </w:t>
      </w:r>
      <w:r>
        <w:rPr>
          <w:color w:val="666666"/>
          <w:sz w:val="20"/>
          <w:szCs w:val="20"/>
        </w:rPr>
        <w:t xml:space="preserve">Prepared for: Treasury Stakeholder Review</w:t>
      </w:r>
    </w:p>
    <w:p>
      <w:pPr>
        <w:pBdr>
          <w:bottom w:val="single" w:color="CCCCCC" w:sz="6" w:space="1"/>
        </w:pBdr>
        <w:spacing w:after="160"/>
      </w:pPr>
    </w:p>
    <w:p>
      <w:pPr>
        <w:spacing w:after="80" w:before="220"/>
      </w:pPr>
      <w:r>
        <w:rPr>
          <w:b/>
          <w:bCs/>
          <w:caps/>
          <w:color w:val="1F4E5F"/>
          <w:sz w:val="22"/>
          <w:szCs w:val="22"/>
        </w:rPr>
        <w:t xml:space="preserve">Purpose</w:t>
      </w:r>
    </w:p>
    <w:p>
      <w:pPr>
        <w:spacing w:after="100"/>
      </w:pPr>
      <w:r>
        <w:rPr>
          <w:sz w:val="20"/>
          <w:szCs w:val="20"/>
        </w:rPr>
        <w:t xml:space="preserve">This memo summarizes the liquidity, interest rate, market, and credit risk position of the Treasury balance sheet as of the reporting date above, based on the risk model maintained in Treasury_Risk_Dashboard.xlsx. Figures are drawn from a simplified analytical model built for internal review purposes and are not regulatory-grade Basel III calculations.</w:t>
      </w:r>
    </w:p>
    <w:p>
      <w:pPr>
        <w:spacing w:after="80" w:before="220"/>
      </w:pPr>
      <w:r>
        <w:rPr>
          <w:b/>
          <w:bCs/>
          <w:caps/>
          <w:color w:val="1F4E5F"/>
          <w:sz w:val="22"/>
          <w:szCs w:val="22"/>
        </w:rPr>
        <w:t xml:space="preserve">Key Metrics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10"/>
            <w:shd w:fill="E3F1E6" w:val="clear"/>
            <w:tcMar>
              <w:top w:type="dxa" w:w="120"/>
              <w:left w:type="dxa" w:w="120"/>
              <w:bottom w:type="dxa" w:w="120"/>
              <w:right w:type="dxa" w:w="120"/>
            </w:tcMar>
          </w:tcPr>
          <w:p>
            <w:pPr>
              <w:spacing w:after="40"/>
              <w:jc w:val="center"/>
            </w:pPr>
            <w:r>
              <w:rPr>
                <w:b/>
                <w:bCs/>
                <w:color w:val="666666"/>
                <w:sz w:val="16"/>
                <w:szCs w:val="16"/>
              </w:rPr>
              <w:t xml:space="preserve">LCR</w:t>
            </w:r>
          </w:p>
          <w:p>
            <w:pPr>
              <w:jc w:val="center"/>
            </w:pPr>
            <w:r>
              <w:rPr>
                <w:b/>
                <w:bCs/>
                <w:color w:val="1A1A1A"/>
                <w:sz w:val="28"/>
                <w:szCs w:val="28"/>
              </w:rPr>
              <w:t xml:space="preserve">321%</w:t>
            </w:r>
          </w:p>
        </w:tc>
        <w:tc>
          <w:tcPr>
            <w:tcW w:type="dxa" w:w="2610"/>
            <w:shd w:fill="FBE4E4" w:val="clear"/>
            <w:tcMar>
              <w:top w:type="dxa" w:w="120"/>
              <w:left w:type="dxa" w:w="120"/>
              <w:bottom w:type="dxa" w:w="120"/>
              <w:right w:type="dxa" w:w="120"/>
            </w:tcMar>
          </w:tcPr>
          <w:p>
            <w:pPr>
              <w:spacing w:after="40"/>
              <w:jc w:val="center"/>
            </w:pPr>
            <w:r>
              <w:rPr>
                <w:b/>
                <w:bCs/>
                <w:color w:val="666666"/>
                <w:sz w:val="16"/>
                <w:szCs w:val="16"/>
              </w:rPr>
              <w:t xml:space="preserve">Cumulative 1-Yr Gap</w:t>
            </w:r>
          </w:p>
          <w:p>
            <w:pPr>
              <w:jc w:val="center"/>
            </w:pPr>
            <w:r>
              <w:rPr>
                <w:b/>
                <w:bCs/>
                <w:color w:val="1A1A1A"/>
                <w:sz w:val="28"/>
                <w:szCs w:val="28"/>
              </w:rPr>
              <w:t xml:space="preserve">-₹5.76B</w:t>
            </w:r>
          </w:p>
        </w:tc>
        <w:tc>
          <w:tcPr>
            <w:tcW w:type="dxa" w:w="2610"/>
            <w:shd w:fill="FBE4E4" w:val="clear"/>
            <w:tcMar>
              <w:top w:type="dxa" w:w="120"/>
              <w:left w:type="dxa" w:w="120"/>
              <w:bottom w:type="dxa" w:w="120"/>
              <w:right w:type="dxa" w:w="120"/>
            </w:tcMar>
          </w:tcPr>
          <w:p>
            <w:pPr>
              <w:spacing w:after="40"/>
              <w:jc w:val="center"/>
            </w:pPr>
            <w:r>
              <w:rPr>
                <w:b/>
                <w:bCs/>
                <w:color w:val="666666"/>
                <w:sz w:val="16"/>
                <w:szCs w:val="16"/>
              </w:rPr>
              <w:t xml:space="preserve">NII Impact (+100bps)</w:t>
            </w:r>
          </w:p>
          <w:p>
            <w:pPr>
              <w:jc w:val="center"/>
            </w:pPr>
            <w:r>
              <w:rPr>
                <w:b/>
                <w:bCs/>
                <w:color w:val="1A1A1A"/>
                <w:sz w:val="28"/>
                <w:szCs w:val="28"/>
              </w:rPr>
              <w:t xml:space="preserve">-₹16.1M</w:t>
            </w:r>
          </w:p>
        </w:tc>
        <w:tc>
          <w:tcPr>
            <w:tcW w:type="dxa" w:w="2610"/>
            <w:shd w:fill="FBE4E4" w:val="clear"/>
            <w:tcMar>
              <w:top w:type="dxa" w:w="120"/>
              <w:left w:type="dxa" w:w="120"/>
              <w:bottom w:type="dxa" w:w="120"/>
              <w:right w:type="dxa" w:w="120"/>
            </w:tcMar>
          </w:tcPr>
          <w:p>
            <w:pPr>
              <w:spacing w:after="40"/>
              <w:jc w:val="center"/>
            </w:pPr>
            <w:r>
              <w:rPr>
                <w:b/>
                <w:bCs/>
                <w:color w:val="666666"/>
                <w:sz w:val="16"/>
                <w:szCs w:val="16"/>
              </w:rPr>
              <w:t xml:space="preserve">Securities MTM (+50bps)</w:t>
            </w:r>
          </w:p>
          <w:p>
            <w:pPr>
              <w:jc w:val="center"/>
            </w:pPr>
            <w:r>
              <w:rPr>
                <w:b/>
                <w:bCs/>
                <w:color w:val="1A1A1A"/>
                <w:sz w:val="28"/>
                <w:szCs w:val="28"/>
              </w:rPr>
              <w:t xml:space="preserve">-₹396.7M</w:t>
            </w:r>
          </w:p>
        </w:tc>
      </w:tr>
    </w:tbl>
    <w:p>
      <w:pPr>
        <w:spacing w:after="0" w:before="100"/>
      </w:pPr>
      <w:r>
        <w:rPr>
          <w:i/>
          <w:iCs/>
          <w:color w:val="666666"/>
          <w:sz w:val="16"/>
          <w:szCs w:val="16"/>
        </w:rPr>
        <w:t xml:space="preserve">LCR shown vs. 100% regulatory minimum. All other figures show the direction and estimated size of impact under the stated shock.</w:t>
      </w:r>
    </w:p>
    <w:p>
      <w:pPr>
        <w:spacing w:after="80" w:before="220"/>
      </w:pPr>
      <w:r>
        <w:rPr>
          <w:b/>
          <w:bCs/>
          <w:caps/>
          <w:color w:val="1F4E5F"/>
          <w:sz w:val="22"/>
          <w:szCs w:val="22"/>
        </w:rPr>
        <w:t xml:space="preserve">Key Observations</w:t>
      </w:r>
    </w:p>
    <w:p>
      <w:pPr>
        <w:pStyle w:val="ListParagraph"/>
        <w:numPr>
          <w:ilvl w:val="0"/>
          <w:numId w:val="2"/>
        </w:numPr>
        <w:spacing w:after="60"/>
      </w:pPr>
      <w:r>
        <w:rPr>
          <w:sz w:val="20"/>
          <w:szCs w:val="20"/>
        </w:rPr>
        <w:t xml:space="preserve">Liquidity position is comfortable: LCR of ~321% means HQLA covers modeled 30-day net outflows more than 3x over, driven largely by government bond holdings.</w:t>
      </w:r>
    </w:p>
    <w:p>
      <w:pPr>
        <w:pStyle w:val="ListParagraph"/>
        <w:numPr>
          <w:ilvl w:val="0"/>
          <w:numId w:val="2"/>
        </w:numPr>
        <w:spacing w:after="60"/>
      </w:pPr>
      <w:r>
        <w:rPr>
          <w:sz w:val="20"/>
          <w:szCs w:val="20"/>
        </w:rPr>
        <w:t xml:space="preserve">The book is short-funded: liabilities (mostly deposits) reprice faster than assets (mostly term loans) across the 0-30 day, 31-90 day, and 91-365 day buckets — a -₹5.76B cumulative gap by the 1-year point. This is typical for a deposit-funded lender, not itself a red flag.</w:t>
      </w:r>
    </w:p>
    <w:p>
      <w:pPr>
        <w:pStyle w:val="ListParagraph"/>
        <w:numPr>
          <w:ilvl w:val="0"/>
          <w:numId w:val="2"/>
        </w:numPr>
        <w:spacing w:after="60"/>
      </w:pPr>
      <w:r>
        <w:rPr>
          <w:sz w:val="20"/>
          <w:szCs w:val="20"/>
        </w:rPr>
        <w:t xml:space="preserve">The book is mildly liability-sensitive to short-term rates: a +100bps parallel shock reduces 1-year NII by an estimated ₹16.1M, since more floating-rate liabilities reprice within the year than floating-rate assets.</w:t>
      </w:r>
    </w:p>
    <w:p>
      <w:pPr>
        <w:pStyle w:val="ListParagraph"/>
        <w:numPr>
          <w:ilvl w:val="0"/>
          <w:numId w:val="2"/>
        </w:numPr>
        <w:spacing w:after="60"/>
      </w:pPr>
      <w:r>
        <w:rPr>
          <w:sz w:val="20"/>
          <w:szCs w:val="20"/>
        </w:rPr>
        <w:t xml:space="preserve">The securities book carries meaningful duration risk: portfolio modified duration of ~4.6 years means a +50bps yield shock is estimated to reduce securities book value by ~₹396.7M, concentrated in AAA/A-rated holdings given their larger share of the book.</w:t>
      </w:r>
    </w:p>
    <w:p>
      <w:pPr>
        <w:pStyle w:val="ListParagraph"/>
        <w:numPr>
          <w:ilvl w:val="0"/>
          <w:numId w:val="2"/>
        </w:numPr>
        <w:spacing w:after="60"/>
      </w:pPr>
      <w:r>
        <w:rPr>
          <w:sz w:val="20"/>
          <w:szCs w:val="20"/>
        </w:rPr>
        <w:t xml:space="preserve">Credit concentration is acceptable but worth monitoring: no single counterparty breaches a hard exposure limit, though roughly 17% of the credit book sits in sub-investment-grade (BB/B) names.</w:t>
      </w:r>
    </w:p>
    <w:p>
      <w:pPr>
        <w:spacing w:after="80" w:before="220"/>
      </w:pPr>
      <w:r>
        <w:rPr>
          <w:b/>
          <w:bCs/>
          <w:caps/>
          <w:color w:val="1F4E5F"/>
          <w:sz w:val="22"/>
          <w:szCs w:val="22"/>
        </w:rPr>
        <w:t xml:space="preserve">Assumptions &amp; Limitations</w:t>
      </w:r>
    </w:p>
    <w:p>
      <w:pPr>
        <w:pStyle w:val="ListParagraph"/>
        <w:numPr>
          <w:ilvl w:val="0"/>
          <w:numId w:val="2"/>
        </w:numPr>
        <w:spacing w:after="60"/>
      </w:pPr>
      <w:r>
        <w:rPr>
          <w:sz w:val="20"/>
          <w:szCs w:val="20"/>
        </w:rPr>
        <w:t xml:space="preserve">Deposit run-off rates (8% retail / 25% wholesale, 30-day horizon) are simplified planning assumptions, not the actual Basel III LCR weightings, which vary by deposit stability tier and counterparty type.</w:t>
      </w:r>
    </w:p>
    <w:p>
      <w:pPr>
        <w:pStyle w:val="ListParagraph"/>
        <w:numPr>
          <w:ilvl w:val="0"/>
          <w:numId w:val="2"/>
        </w:numPr>
        <w:spacing w:after="60"/>
      </w:pPr>
      <w:r>
        <w:rPr>
          <w:sz w:val="20"/>
          <w:szCs w:val="20"/>
        </w:rPr>
        <w:t xml:space="preserve">Maturity gap and duration use contractual maturity dates. Behavioral maturity (e.g. retail deposits that are contractually on-demand but behaviorally sticky) is not modeled.</w:t>
      </w:r>
    </w:p>
    <w:p>
      <w:pPr>
        <w:pStyle w:val="ListParagraph"/>
        <w:numPr>
          <w:ilvl w:val="0"/>
          <w:numId w:val="2"/>
        </w:numPr>
        <w:spacing w:after="60"/>
      </w:pPr>
      <w:r>
        <w:rPr>
          <w:sz w:val="20"/>
          <w:szCs w:val="20"/>
        </w:rPr>
        <w:t xml:space="preserve">Modified duration is approximated using a zero-coupon proxy (time to maturity discounted by yield), not a full coupon-bond duration calculation.</w:t>
      </w:r>
    </w:p>
    <w:p>
      <w:pPr>
        <w:pStyle w:val="ListParagraph"/>
        <w:numPr>
          <w:ilvl w:val="0"/>
          <w:numId w:val="2"/>
        </w:numPr>
        <w:spacing w:after="60"/>
      </w:pPr>
      <w:r>
        <w:rPr>
          <w:sz w:val="20"/>
          <w:szCs w:val="20"/>
        </w:rPr>
        <w:t xml:space="preserve">All underlying data is a synthetic balance sheet built for model-testing purposes and does not reflect any real institution's book.</w:t>
      </w:r>
    </w:p>
    <w:p>
      <w:pPr>
        <w:spacing w:after="80" w:before="220"/>
      </w:pPr>
      <w:r>
        <w:rPr>
          <w:b/>
          <w:bCs/>
          <w:caps/>
          <w:color w:val="1F4E5F"/>
          <w:sz w:val="22"/>
          <w:szCs w:val="22"/>
        </w:rPr>
        <w:t xml:space="preserve">Recommendations</w:t>
      </w:r>
    </w:p>
    <w:p>
      <w:pPr>
        <w:pStyle w:val="ListParagraph"/>
        <w:numPr>
          <w:ilvl w:val="0"/>
          <w:numId w:val="2"/>
        </w:numPr>
        <w:spacing w:after="60"/>
      </w:pPr>
      <w:r>
        <w:rPr>
          <w:sz w:val="20"/>
          <w:szCs w:val="20"/>
        </w:rPr>
        <w:t xml:space="preserve">Monitor the short-tenor negative gap if wholesale funding costs rise, given the book's liability-sensitivity to short-term rates.</w:t>
      </w:r>
    </w:p>
    <w:p>
      <w:pPr>
        <w:pStyle w:val="ListParagraph"/>
        <w:numPr>
          <w:ilvl w:val="0"/>
          <w:numId w:val="2"/>
        </w:numPr>
        <w:spacing w:after="60"/>
      </w:pPr>
      <w:r>
        <w:rPr>
          <w:sz w:val="20"/>
          <w:szCs w:val="20"/>
        </w:rPr>
        <w:t xml:space="preserve">Track sub-investment-grade concentration against policy limits on a rolling basis rather than as a point-in-time check.</w:t>
      </w:r>
    </w:p>
    <w:p>
      <w:pPr>
        <w:pStyle w:val="ListParagraph"/>
        <w:numPr>
          <w:ilvl w:val="0"/>
          <w:numId w:val="2"/>
        </w:numPr>
        <w:spacing w:after="60"/>
      </w:pPr>
      <w:r>
        <w:rPr>
          <w:sz w:val="20"/>
          <w:szCs w:val="20"/>
        </w:rPr>
        <w:t xml:space="preserve">Extend the model with a behavioral deposit overlay and a second rate-shock scenario (e.g. -100bps) to stress-test both directions.</w:t>
      </w:r>
    </w:p>
    <w:p>
      <w:pPr>
        <w:pBdr>
          <w:top w:val="single" w:color="CCCCCC" w:sz="6" w:space="1"/>
        </w:pBdr>
        <w:spacing w:before="240"/>
      </w:pPr>
    </w:p>
    <w:p>
      <w:pPr>
        <w:spacing w:before="100"/>
      </w:pPr>
      <w:r>
        <w:rPr>
          <w:i/>
          <w:iCs/>
          <w:color w:val="666666"/>
          <w:sz w:val="15"/>
          <w:szCs w:val="15"/>
        </w:rPr>
        <w:t xml:space="preserve">Source: Treasury_Risk_Dashboard.xlsx (Dashboard, LCR Calculation, Maturity Gap, Market Risk, Rate Sensitivity, Concentration Risk tabs).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2026-07-30T10:59:17.909Z</dcterms:created>
  <dcterms:modified xsi:type="dcterms:W3CDTF">2026-07-30T10:59:17.921Z</dcterms:modified>
</cp:coreProperties>
</file>

<file path=docProps/custom.xml><?xml version="1.0" encoding="utf-8"?>
<Properties xmlns="http://schemas.openxmlformats.org/officeDocument/2006/custom-properties" xmlns:vt="http://schemas.openxmlformats.org/officeDocument/2006/docPropsVTypes"/>
</file>