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color w:val="1F3864"/>
          <w:sz w:val="40"/>
          <w:szCs w:val="40"/>
        </w:rPr>
        <w:t xml:space="preserve">RAHUL MAYUR</w:t>
      </w:r>
    </w:p>
    <w:p>
      <w:pPr>
        <w:spacing w:after="20" w:before="0"/>
        <w:jc w:val="center"/>
      </w:pPr>
      <w:r>
        <w:rPr>
          <w:rFonts w:ascii="Arial" w:cs="Arial" w:eastAsia="Arial" w:hAnsi="Arial"/>
          <w:color w:val="555555"/>
          <w:sz w:val="16"/>
          <w:szCs w:val="16"/>
        </w:rPr>
        <w:t xml:space="preserve">+91 73551 62401  |  a2025pgdm4941@imsgzb.ac.in  |  linkedin.com/in/rahul-mayur-545884350  |  Varanasi / Ghaziabad, UP</w:t>
      </w:r>
    </w:p>
    <w:p>
      <w:pPr>
        <w:pBdr>
          <w:bottom w:val="single" w:color="1F3864" w:sz="6" w:space="1"/>
        </w:pBdr>
        <w:spacing w:after="40" w:before="100"/>
      </w:pPr>
    </w:p>
    <w:p>
      <w:pPr>
        <w:spacing w:after="0" w:before="100"/>
      </w:pPr>
      <w:r>
        <w:rPr>
          <w:rFonts w:ascii="Arial" w:cs="Arial" w:eastAsia="Arial" w:hAnsi="Arial"/>
          <w:b/>
          <w:bCs/>
          <w:color w:val="1F3864"/>
          <w:sz w:val="20"/>
          <w:szCs w:val="20"/>
        </w:rPr>
        <w:t xml:space="preserve">PROFESSIONAL SUMMARY</w:t>
      </w:r>
    </w:p>
    <w:p>
      <w:pPr>
        <w:pBdr>
          <w:bottom w:val="single" w:color="1F3864" w:sz="6" w:space="1"/>
        </w:pBdr>
        <w:spacing w:after="40" w:before="100"/>
      </w:pPr>
    </w:p>
    <w:p>
      <w:pPr>
        <w:spacing w:after="60" w:before="40"/>
      </w:pPr>
      <w:r>
        <w:rPr>
          <w:rFonts w:ascii="Arial" w:cs="Arial" w:eastAsia="Arial" w:hAnsi="Arial"/>
          <w:color w:val="111111"/>
          <w:sz w:val="18"/>
          <w:szCs w:val="18"/>
        </w:rPr>
        <w:t xml:space="preserve">Results-driven PGDM candidate (9.43 TGPA | IMS Ghaziabad) with hands-on experience in business analytics, sales performance reporting, consumer behaviour research, and data-driven insights generation. National Finalist — AIMA 7th Chanakya Business Simulation Games 2026. Certified in Data Analytics and Data Visualization (Forage) and Generative AI (NASSCOM). Adept at transforming complex datasets into actionable recommendations for senior stakeholders across FMCG, digital marketing, and research domains.</w:t>
      </w:r>
    </w:p>
    <w:p>
      <w:pPr>
        <w:spacing w:after="0" w:before="100"/>
      </w:pPr>
      <w:r>
        <w:rPr>
          <w:rFonts w:ascii="Arial" w:cs="Arial" w:eastAsia="Arial" w:hAnsi="Arial"/>
          <w:b/>
          <w:bCs/>
          <w:color w:val="1F3864"/>
          <w:sz w:val="20"/>
          <w:szCs w:val="20"/>
        </w:rPr>
        <w:t xml:space="preserve">SKILLS</w:t>
      </w:r>
    </w:p>
    <w:p>
      <w:pPr>
        <w:pBdr>
          <w:bottom w:val="single" w:color="1F3864" w:sz="6" w:space="1"/>
        </w:pBdr>
        <w:spacing w:after="40" w:before="100"/>
      </w:pPr>
    </w:p>
    <w:p>
      <w:pPr>
        <w:spacing w:after="30" w:before="30"/>
      </w:pPr>
      <w:r>
        <w:rPr>
          <w:rFonts w:ascii="Arial" w:cs="Arial" w:eastAsia="Arial" w:hAnsi="Arial"/>
          <w:b/>
          <w:bCs/>
          <w:color w:val="1F3864"/>
          <w:sz w:val="18"/>
          <w:szCs w:val="18"/>
        </w:rPr>
        <w:t xml:space="preserve">Analytics &amp; Reporting: </w:t>
      </w:r>
      <w:r>
        <w:rPr>
          <w:rFonts w:ascii="Arial" w:cs="Arial" w:eastAsia="Arial" w:hAnsi="Arial"/>
          <w:color w:val="111111"/>
          <w:sz w:val="18"/>
          <w:szCs w:val="18"/>
        </w:rPr>
        <w:t xml:space="preserve">Business Analytics · Sales Performance Reporting · KPI Analysis · Portfolio Trend Analysis · Consumer Behaviour · Data-Driven Insights · Market Research</w:t>
      </w:r>
    </w:p>
    <w:p>
      <w:pPr>
        <w:spacing w:after="30" w:before="30"/>
      </w:pPr>
      <w:r>
        <w:rPr>
          <w:rFonts w:ascii="Arial" w:cs="Arial" w:eastAsia="Arial" w:hAnsi="Arial"/>
          <w:b/>
          <w:bCs/>
          <w:color w:val="1F3864"/>
          <w:sz w:val="18"/>
          <w:szCs w:val="18"/>
        </w:rPr>
        <w:t xml:space="preserve">Tools &amp; Tech: </w:t>
      </w:r>
      <w:r>
        <w:rPr>
          <w:rFonts w:ascii="Arial" w:cs="Arial" w:eastAsia="Arial" w:hAnsi="Arial"/>
          <w:color w:val="111111"/>
          <w:sz w:val="18"/>
          <w:szCs w:val="18"/>
        </w:rPr>
        <w:t xml:space="preserve">MS Excel (Advanced) · MS PowerPoint · Power BI · SQL (Fundamentals) · Canva · Generative AI · Data Visualization</w:t>
      </w:r>
    </w:p>
    <w:p>
      <w:pPr>
        <w:spacing w:after="30" w:before="30"/>
      </w:pPr>
      <w:r>
        <w:rPr>
          <w:rFonts w:ascii="Arial" w:cs="Arial" w:eastAsia="Arial" w:hAnsi="Arial"/>
          <w:b/>
          <w:bCs/>
          <w:color w:val="1F3864"/>
          <w:sz w:val="18"/>
          <w:szCs w:val="18"/>
        </w:rPr>
        <w:t xml:space="preserve">Business Skills: </w:t>
      </w:r>
      <w:r>
        <w:rPr>
          <w:rFonts w:ascii="Arial" w:cs="Arial" w:eastAsia="Arial" w:hAnsi="Arial"/>
          <w:color w:val="111111"/>
          <w:sz w:val="18"/>
          <w:szCs w:val="18"/>
        </w:rPr>
        <w:t xml:space="preserve">Account Management · Stakeholder Communication · Target Achievement · Process Improvement · Team Leadership · Project Documentation</w:t>
      </w:r>
    </w:p>
    <w:p>
      <w:pPr>
        <w:spacing w:after="0" w:before="100"/>
      </w:pPr>
      <w:r>
        <w:rPr>
          <w:rFonts w:ascii="Arial" w:cs="Arial" w:eastAsia="Arial" w:hAnsi="Arial"/>
          <w:b/>
          <w:bCs/>
          <w:color w:val="1F3864"/>
          <w:sz w:val="20"/>
          <w:szCs w:val="20"/>
        </w:rPr>
        <w:t xml:space="preserve">EXPERIENCE</w:t>
      </w:r>
    </w:p>
    <w:p>
      <w:pPr>
        <w:pBdr>
          <w:bottom w:val="single" w:color="1F3864" w:sz="6" w:space="1"/>
        </w:pBdr>
        <w:spacing w:after="40" w:before="100"/>
      </w:pPr>
    </w:p>
    <w:p>
      <w:pPr>
        <w:tabs>
          <w:tab w:val="right" w:pos="9360"/>
        </w:tabs>
        <w:spacing w:after="0" w:before="60"/>
      </w:pPr>
      <w:r>
        <w:rPr>
          <w:rFonts w:ascii="Arial" w:cs="Arial" w:eastAsia="Arial" w:hAnsi="Arial"/>
          <w:b/>
          <w:bCs/>
          <w:color w:val="111111"/>
          <w:sz w:val="18"/>
          <w:szCs w:val="18"/>
        </w:rPr>
        <w:t xml:space="preserve">Sales &amp; Business Analytics Intern | Bikanervala Foods Pvt. Ltd. (Bikano)</w:t>
      </w:r>
      <w:r>
        <w:rPr>
          <w:rFonts w:ascii="Arial" w:cs="Arial" w:eastAsia="Arial" w:hAnsi="Arial"/>
          <w:sz w:val="18"/>
          <w:szCs w:val="18"/>
        </w:rPr>
        <w:t xml:space="preserve">	</w:t>
      </w:r>
      <w:r>
        <w:rPr>
          <w:rFonts w:ascii="Arial" w:cs="Arial" w:eastAsia="Arial" w:hAnsi="Arial"/>
          <w:i/>
          <w:iCs/>
          <w:color w:val="555555"/>
          <w:sz w:val="16"/>
          <w:szCs w:val="16"/>
        </w:rPr>
        <w:t xml:space="preserve">May 2026 – Present</w:t>
      </w:r>
    </w:p>
    <w:p>
      <w:pPr>
        <w:spacing w:after="20" w:before="0"/>
      </w:pPr>
      <w:r>
        <w:rPr>
          <w:rFonts w:ascii="Arial" w:cs="Arial" w:eastAsia="Arial" w:hAnsi="Arial"/>
          <w:i/>
          <w:iCs/>
          <w:color w:val="555555"/>
          <w:sz w:val="16"/>
          <w:szCs w:val="16"/>
        </w:rPr>
        <w:t xml:space="preserve">Modern Trade  ·  Varanasi, UP  ·  Competitive SIP  ·  Global FMCG Brand (~$400M turnover)</w:t>
      </w:r>
    </w:p>
    <w:p>
      <w:pPr>
        <w:pStyle w:val="ListParagraph"/>
        <w:numPr>
          <w:ilvl w:val="0"/>
          <w:numId w:val="2"/>
        </w:numPr>
        <w:spacing w:after="30" w:before="0"/>
      </w:pPr>
      <w:r>
        <w:rPr>
          <w:rFonts w:ascii="Arial" w:cs="Arial" w:eastAsia="Arial" w:hAnsi="Arial"/>
          <w:color w:val="111111"/>
          <w:sz w:val="18"/>
          <w:szCs w:val="18"/>
        </w:rPr>
        <w:t xml:space="preserve">Analysed sales datasets across 50+ modern trade accounts to identify performance gaps, track KPIs, and generate weekly data-driven reports for management review — improving tracking accuracy and operational visibility.</w:t>
      </w:r>
    </w:p>
    <w:p>
      <w:pPr>
        <w:pStyle w:val="ListParagraph"/>
        <w:numPr>
          <w:ilvl w:val="0"/>
          <w:numId w:val="2"/>
        </w:numPr>
        <w:spacing w:after="30" w:before="0"/>
      </w:pPr>
      <w:r>
        <w:rPr>
          <w:rFonts w:ascii="Arial" w:cs="Arial" w:eastAsia="Arial" w:hAnsi="Arial"/>
          <w:color w:val="111111"/>
          <w:sz w:val="18"/>
          <w:szCs w:val="18"/>
        </w:rPr>
        <w:t xml:space="preserve">Assessed consumer buying behaviour, price sensitivity, and brand loyalty through structured surveys; delivered actionable business insights to support sales strategy, product placement, and promoter effectiveness optimisation.</w:t>
      </w:r>
    </w:p>
    <w:p>
      <w:pPr>
        <w:tabs>
          <w:tab w:val="right" w:pos="9360"/>
        </w:tabs>
        <w:spacing w:after="0" w:before="60"/>
      </w:pPr>
      <w:r>
        <w:rPr>
          <w:rFonts w:ascii="Arial" w:cs="Arial" w:eastAsia="Arial" w:hAnsi="Arial"/>
          <w:b/>
          <w:bCs/>
          <w:color w:val="111111"/>
          <w:sz w:val="18"/>
          <w:szCs w:val="18"/>
        </w:rPr>
        <w:t xml:space="preserve">Digital Marketing Analyst Intern | Tripple One Solutions</w:t>
      </w:r>
      <w:r>
        <w:rPr>
          <w:rFonts w:ascii="Arial" w:cs="Arial" w:eastAsia="Arial" w:hAnsi="Arial"/>
          <w:sz w:val="18"/>
          <w:szCs w:val="18"/>
        </w:rPr>
        <w:t xml:space="preserve">	</w:t>
      </w:r>
      <w:r>
        <w:rPr>
          <w:rFonts w:ascii="Arial" w:cs="Arial" w:eastAsia="Arial" w:hAnsi="Arial"/>
          <w:i/>
          <w:iCs/>
          <w:color w:val="555555"/>
          <w:sz w:val="16"/>
          <w:szCs w:val="16"/>
        </w:rPr>
        <w:t xml:space="preserve">Feb 2026 – Mar 2026</w:t>
      </w:r>
    </w:p>
    <w:p>
      <w:pPr>
        <w:spacing w:after="20" w:before="0"/>
      </w:pPr>
      <w:r>
        <w:rPr>
          <w:rFonts w:ascii="Arial" w:cs="Arial" w:eastAsia="Arial" w:hAnsi="Arial"/>
          <w:i/>
          <w:iCs/>
          <w:color w:val="555555"/>
          <w:sz w:val="16"/>
          <w:szCs w:val="16"/>
        </w:rPr>
        <w:t xml:space="preserve">Remote  ·  Ghaziabad, Uttar Pradesh  ·  Recognised for exceptional performance</w:t>
      </w:r>
    </w:p>
    <w:p>
      <w:pPr>
        <w:pStyle w:val="ListParagraph"/>
        <w:numPr>
          <w:ilvl w:val="0"/>
          <w:numId w:val="2"/>
        </w:numPr>
        <w:spacing w:after="30" w:before="0"/>
      </w:pPr>
      <w:r>
        <w:rPr>
          <w:rFonts w:ascii="Arial" w:cs="Arial" w:eastAsia="Arial" w:hAnsi="Arial"/>
          <w:color w:val="111111"/>
          <w:sz w:val="18"/>
          <w:szCs w:val="18"/>
        </w:rPr>
        <w:t xml:space="preserve">Monitored campaign KPIs across digital platforms; prepared cross-platform performance reports and responded to ad hoc analytical requests under tight deadlines, contributing to measurable conversion rate improvement.</w:t>
      </w:r>
    </w:p>
    <w:p>
      <w:pPr>
        <w:tabs>
          <w:tab w:val="right" w:pos="9360"/>
        </w:tabs>
        <w:spacing w:after="0" w:before="60"/>
      </w:pPr>
      <w:r>
        <w:rPr>
          <w:rFonts w:ascii="Arial" w:cs="Arial" w:eastAsia="Arial" w:hAnsi="Arial"/>
          <w:b/>
          <w:bCs/>
          <w:color w:val="111111"/>
          <w:sz w:val="18"/>
          <w:szCs w:val="18"/>
        </w:rPr>
        <w:t xml:space="preserve">Research Intern | IISPPR (International Institute of SDGs &amp; Public Policy Research)</w:t>
      </w:r>
      <w:r>
        <w:rPr>
          <w:rFonts w:ascii="Arial" w:cs="Arial" w:eastAsia="Arial" w:hAnsi="Arial"/>
          <w:sz w:val="18"/>
          <w:szCs w:val="18"/>
        </w:rPr>
        <w:t xml:space="preserve">	</w:t>
      </w:r>
      <w:r>
        <w:rPr>
          <w:rFonts w:ascii="Arial" w:cs="Arial" w:eastAsia="Arial" w:hAnsi="Arial"/>
          <w:i/>
          <w:iCs/>
          <w:color w:val="555555"/>
          <w:sz w:val="16"/>
          <w:szCs w:val="16"/>
        </w:rPr>
        <w:t xml:space="preserve">May–Jun 2026</w:t>
      </w:r>
    </w:p>
    <w:p>
      <w:pPr>
        <w:spacing w:after="20" w:before="0"/>
      </w:pPr>
      <w:r>
        <w:rPr>
          <w:rFonts w:ascii="Arial" w:cs="Arial" w:eastAsia="Arial" w:hAnsi="Arial"/>
          <w:i/>
          <w:iCs/>
          <w:color w:val="555555"/>
          <w:sz w:val="16"/>
          <w:szCs w:val="16"/>
        </w:rPr>
        <w:t xml:space="preserve">Remote  ·  ID: 8936</w:t>
      </w:r>
    </w:p>
    <w:p>
      <w:pPr>
        <w:pStyle w:val="ListParagraph"/>
        <w:numPr>
          <w:ilvl w:val="0"/>
          <w:numId w:val="2"/>
        </w:numPr>
        <w:spacing w:after="30" w:before="0"/>
      </w:pPr>
      <w:r>
        <w:rPr>
          <w:rFonts w:ascii="Arial" w:cs="Arial" w:eastAsia="Arial" w:hAnsi="Arial"/>
          <w:color w:val="111111"/>
          <w:sz w:val="18"/>
          <w:szCs w:val="18"/>
        </w:rPr>
        <w:t xml:space="preserve">Synthesised complex regulatory compliance and policy data into structured, stakeholder-ready reports and project documentation aligned with global sustainability frameworks.</w:t>
      </w:r>
    </w:p>
    <w:p>
      <w:pPr>
        <w:spacing w:after="0" w:before="100"/>
      </w:pPr>
      <w:r>
        <w:rPr>
          <w:rFonts w:ascii="Arial" w:cs="Arial" w:eastAsia="Arial" w:hAnsi="Arial"/>
          <w:b/>
          <w:bCs/>
          <w:color w:val="1F3864"/>
          <w:sz w:val="20"/>
          <w:szCs w:val="20"/>
        </w:rPr>
        <w:t xml:space="preserve">PROJECTS</w:t>
      </w:r>
    </w:p>
    <w:p>
      <w:pPr>
        <w:pBdr>
          <w:bottom w:val="single" w:color="1F3864" w:sz="6" w:space="1"/>
        </w:pBdr>
        <w:spacing w:after="40" w:before="100"/>
      </w:pPr>
    </w:p>
    <w:p>
      <w:pPr>
        <w:tabs>
          <w:tab w:val="right" w:pos="9360"/>
        </w:tabs>
        <w:spacing w:after="0" w:before="60"/>
      </w:pPr>
      <w:r>
        <w:rPr>
          <w:rFonts w:ascii="Arial" w:cs="Arial" w:eastAsia="Arial" w:hAnsi="Arial"/>
          <w:b/>
          <w:bCs/>
          <w:color w:val="111111"/>
          <w:sz w:val="18"/>
          <w:szCs w:val="18"/>
        </w:rPr>
        <w:t xml:space="preserve">Working Capital Management — Portfolio Trend Analysis (Marico Ltd) | IMS Ghaziabad</w:t>
      </w:r>
      <w:r>
        <w:rPr>
          <w:rFonts w:ascii="Arial" w:cs="Arial" w:eastAsia="Arial" w:hAnsi="Arial"/>
          <w:sz w:val="18"/>
          <w:szCs w:val="18"/>
        </w:rPr>
        <w:t xml:space="preserve">	</w:t>
      </w:r>
      <w:r>
        <w:rPr>
          <w:rFonts w:ascii="Arial" w:cs="Arial" w:eastAsia="Arial" w:hAnsi="Arial"/>
          <w:i/>
          <w:iCs/>
          <w:color w:val="555555"/>
          <w:sz w:val="16"/>
          <w:szCs w:val="16"/>
        </w:rPr>
        <w:t xml:space="preserve">2025</w:t>
      </w:r>
    </w:p>
    <w:p>
      <w:pPr>
        <w:pStyle w:val="ListParagraph"/>
        <w:numPr>
          <w:ilvl w:val="0"/>
          <w:numId w:val="2"/>
        </w:numPr>
        <w:spacing w:after="30" w:before="0"/>
      </w:pPr>
      <w:r>
        <w:rPr>
          <w:rFonts w:ascii="Arial" w:cs="Arial" w:eastAsia="Arial" w:hAnsi="Arial"/>
          <w:color w:val="111111"/>
          <w:sz w:val="18"/>
          <w:szCs w:val="18"/>
        </w:rPr>
        <w:t xml:space="preserve">5-year financial trend analysis assessing portfolio liquidity, solvency, and operational efficiency using ratio benchmarking; identified risk indicators and performance improvement opportunities via Excel modelling.</w:t>
      </w:r>
    </w:p>
    <w:p>
      <w:pPr>
        <w:tabs>
          <w:tab w:val="right" w:pos="9360"/>
        </w:tabs>
        <w:spacing w:after="0" w:before="60"/>
      </w:pPr>
      <w:r>
        <w:rPr>
          <w:rFonts w:ascii="Arial" w:cs="Arial" w:eastAsia="Arial" w:hAnsi="Arial"/>
          <w:b/>
          <w:bCs/>
          <w:color w:val="111111"/>
          <w:sz w:val="18"/>
          <w:szCs w:val="18"/>
        </w:rPr>
        <w:t xml:space="preserve">Nusantara Project — International Consumer Behaviour Research | AIBPM</w:t>
      </w:r>
      <w:r>
        <w:rPr>
          <w:rFonts w:ascii="Arial" w:cs="Arial" w:eastAsia="Arial" w:hAnsi="Arial"/>
          <w:sz w:val="18"/>
          <w:szCs w:val="18"/>
        </w:rPr>
        <w:t xml:space="preserve">	</w:t>
      </w:r>
      <w:r>
        <w:rPr>
          <w:rFonts w:ascii="Arial" w:cs="Arial" w:eastAsia="Arial" w:hAnsi="Arial"/>
          <w:i/>
          <w:iCs/>
          <w:color w:val="555555"/>
          <w:sz w:val="16"/>
          <w:szCs w:val="16"/>
        </w:rPr>
        <w:t xml:space="preserve">2025–26</w:t>
      </w:r>
    </w:p>
    <w:p>
      <w:pPr>
        <w:pStyle w:val="ListParagraph"/>
        <w:numPr>
          <w:ilvl w:val="0"/>
          <w:numId w:val="2"/>
        </w:numPr>
        <w:spacing w:after="30" w:before="0"/>
      </w:pPr>
      <w:r>
        <w:rPr>
          <w:rFonts w:ascii="Arial" w:cs="Arial" w:eastAsia="Arial" w:hAnsi="Arial"/>
          <w:color w:val="111111"/>
          <w:sz w:val="18"/>
          <w:szCs w:val="18"/>
        </w:rPr>
        <w:t xml:space="preserve">Cross-border research collaboration with international team analysing eco-friendly purchase intentions in Malaysian F&amp;B market; synthesised multi-source data into strategic business insights for global stakeholders.</w:t>
      </w:r>
    </w:p>
    <w:p>
      <w:pPr>
        <w:tabs>
          <w:tab w:val="right" w:pos="9360"/>
        </w:tabs>
        <w:spacing w:after="0" w:before="60"/>
      </w:pPr>
      <w:r>
        <w:rPr>
          <w:rFonts w:ascii="Arial" w:cs="Arial" w:eastAsia="Arial" w:hAnsi="Arial"/>
          <w:b/>
          <w:bCs/>
          <w:color w:val="111111"/>
          <w:sz w:val="18"/>
          <w:szCs w:val="18"/>
        </w:rPr>
        <w:t xml:space="preserve">Srijan Path: Community Transformation — Field Research &amp; Strategy | IMS Ghaziabad</w:t>
      </w:r>
      <w:r>
        <w:rPr>
          <w:rFonts w:ascii="Arial" w:cs="Arial" w:eastAsia="Arial" w:hAnsi="Arial"/>
          <w:sz w:val="18"/>
          <w:szCs w:val="18"/>
        </w:rPr>
        <w:t xml:space="preserve">	</w:t>
      </w:r>
      <w:r>
        <w:rPr>
          <w:rFonts w:ascii="Arial" w:cs="Arial" w:eastAsia="Arial" w:hAnsi="Arial"/>
          <w:i/>
          <w:iCs/>
          <w:color w:val="555555"/>
          <w:sz w:val="16"/>
          <w:szCs w:val="16"/>
        </w:rPr>
        <w:t xml:space="preserve">2025</w:t>
      </w:r>
    </w:p>
    <w:p>
      <w:pPr>
        <w:pStyle w:val="ListParagraph"/>
        <w:numPr>
          <w:ilvl w:val="0"/>
          <w:numId w:val="2"/>
        </w:numPr>
        <w:spacing w:after="40" w:before="0"/>
      </w:pPr>
      <w:r>
        <w:rPr>
          <w:rFonts w:ascii="Arial" w:cs="Arial" w:eastAsia="Arial" w:hAnsi="Arial"/>
          <w:color w:val="111111"/>
          <w:sz w:val="18"/>
          <w:szCs w:val="18"/>
        </w:rPr>
        <w:t xml:space="preserve">Led 3-month field research initiative for local artisans; developed data-backed 4P marketing strategy using AI tools and primary research, delivering actionable recommendations for community business growth.</w:t>
      </w:r>
    </w:p>
    <w:p>
      <w:pPr>
        <w:spacing w:after="0" w:before="100"/>
      </w:pPr>
      <w:r>
        <w:rPr>
          <w:rFonts w:ascii="Arial" w:cs="Arial" w:eastAsia="Arial" w:hAnsi="Arial"/>
          <w:b/>
          <w:bCs/>
          <w:color w:val="1F3864"/>
          <w:sz w:val="20"/>
          <w:szCs w:val="20"/>
        </w:rPr>
        <w:t xml:space="preserve">EDUCATION</w:t>
      </w:r>
    </w:p>
    <w:p>
      <w:pPr>
        <w:pBdr>
          <w:bottom w:val="single" w:color="1F3864" w:sz="6" w:space="1"/>
        </w:pBdr>
        <w:spacing w:after="40" w:before="100"/>
      </w:pPr>
    </w:p>
    <w:p>
      <w:pPr>
        <w:tabs>
          <w:tab w:val="right" w:pos="9360"/>
        </w:tabs>
        <w:spacing w:after="0" w:before="60"/>
      </w:pPr>
      <w:r>
        <w:rPr>
          <w:rFonts w:ascii="Arial" w:cs="Arial" w:eastAsia="Arial" w:hAnsi="Arial"/>
          <w:b/>
          <w:bCs/>
          <w:color w:val="111111"/>
          <w:sz w:val="18"/>
          <w:szCs w:val="18"/>
        </w:rPr>
        <w:t xml:space="preserve">PGDM — Institute of Management Studies (IMS), Ghaziabad</w:t>
      </w:r>
      <w:r>
        <w:rPr>
          <w:rFonts w:ascii="Arial" w:cs="Arial" w:eastAsia="Arial" w:hAnsi="Arial"/>
          <w:sz w:val="18"/>
          <w:szCs w:val="18"/>
        </w:rPr>
        <w:t xml:space="preserve">	</w:t>
      </w:r>
      <w:r>
        <w:rPr>
          <w:rFonts w:ascii="Arial" w:cs="Arial" w:eastAsia="Arial" w:hAnsi="Arial"/>
          <w:i/>
          <w:iCs/>
          <w:color w:val="555555"/>
          <w:sz w:val="16"/>
          <w:szCs w:val="16"/>
        </w:rPr>
        <w:t xml:space="preserve">2025 – Present</w:t>
      </w:r>
    </w:p>
    <w:p>
      <w:pPr>
        <w:spacing w:after="20" w:before="0"/>
      </w:pPr>
      <w:r>
        <w:rPr>
          <w:rFonts w:ascii="Arial" w:cs="Arial" w:eastAsia="Arial" w:hAnsi="Arial"/>
          <w:i/>
          <w:iCs/>
          <w:color w:val="555555"/>
          <w:sz w:val="16"/>
          <w:szCs w:val="16"/>
        </w:rPr>
        <w:t xml:space="preserve">TGPA: 9.43 / 10  ·  Top performer in batch</w:t>
      </w:r>
    </w:p>
    <w:p>
      <w:pPr>
        <w:tabs>
          <w:tab w:val="right" w:pos="9360"/>
        </w:tabs>
        <w:spacing w:after="0" w:before="60"/>
      </w:pPr>
      <w:r>
        <w:rPr>
          <w:rFonts w:ascii="Arial" w:cs="Arial" w:eastAsia="Arial" w:hAnsi="Arial"/>
          <w:b/>
          <w:bCs/>
          <w:color w:val="111111"/>
          <w:sz w:val="18"/>
          <w:szCs w:val="18"/>
        </w:rPr>
        <w:t xml:space="preserve">BA — Mahatma Gandhi Kashi Vidyapith (MGKVP), Varanasi</w:t>
      </w:r>
      <w:r>
        <w:rPr>
          <w:rFonts w:ascii="Arial" w:cs="Arial" w:eastAsia="Arial" w:hAnsi="Arial"/>
          <w:sz w:val="18"/>
          <w:szCs w:val="18"/>
        </w:rPr>
        <w:t xml:space="preserve">	</w:t>
      </w:r>
      <w:r>
        <w:rPr>
          <w:rFonts w:ascii="Arial" w:cs="Arial" w:eastAsia="Arial" w:hAnsi="Arial"/>
          <w:i/>
          <w:iCs/>
          <w:color w:val="555555"/>
          <w:sz w:val="16"/>
          <w:szCs w:val="16"/>
        </w:rPr>
        <w:t xml:space="preserve">2023</w:t>
      </w:r>
    </w:p>
    <w:p>
      <w:pPr>
        <w:spacing w:after="20" w:before="0"/>
      </w:pPr>
      <w:r>
        <w:rPr>
          <w:rFonts w:ascii="Arial" w:cs="Arial" w:eastAsia="Arial" w:hAnsi="Arial"/>
          <w:i/>
          <w:iCs/>
          <w:color w:val="555555"/>
          <w:sz w:val="16"/>
          <w:szCs w:val="16"/>
        </w:rPr>
        <w:t xml:space="preserve">64.61%  ·  Sr. Secondary (CBSE) — Raj English School, Varanasi | 2020 | 79.40%</w:t>
      </w:r>
    </w:p>
    <w:p>
      <w:pPr>
        <w:spacing w:after="0" w:before="100"/>
      </w:pPr>
      <w:r>
        <w:rPr>
          <w:rFonts w:ascii="Arial" w:cs="Arial" w:eastAsia="Arial" w:hAnsi="Arial"/>
          <w:b/>
          <w:bCs/>
          <w:color w:val="1F3864"/>
          <w:sz w:val="20"/>
          <w:szCs w:val="20"/>
        </w:rPr>
        <w:t xml:space="preserve">CERTIFICATIONS &amp; ACHIEVEMENTS</w:t>
      </w:r>
    </w:p>
    <w:p>
      <w:pPr>
        <w:pBdr>
          <w:bottom w:val="single" w:color="1F3864" w:sz="6" w:space="1"/>
        </w:pBdr>
        <w:spacing w:after="40" w:before="100"/>
      </w:pPr>
    </w:p>
    <w:p>
      <w:pPr>
        <w:spacing w:after="30" w:before="30"/>
      </w:pPr>
      <w:r>
        <w:rPr>
          <w:rFonts w:ascii="Arial" w:cs="Arial" w:eastAsia="Arial" w:hAnsi="Arial"/>
          <w:b/>
          <w:bCs/>
          <w:color w:val="1F3864"/>
          <w:sz w:val="18"/>
          <w:szCs w:val="18"/>
        </w:rPr>
        <w:t xml:space="preserve">Certifications: </w:t>
      </w:r>
      <w:r>
        <w:rPr>
          <w:rFonts w:ascii="Arial" w:cs="Arial" w:eastAsia="Arial" w:hAnsi="Arial"/>
          <w:color w:val="111111"/>
          <w:sz w:val="18"/>
          <w:szCs w:val="18"/>
        </w:rPr>
        <w:t xml:space="preserve">Data Analytics Simulation (Forage) · Data Visualization (Forage) · Generative AI (NASSCOM) · Digital App Fundamentals STEM (NASSCOM) · Cybersecurity Essentials (Cisco)</w:t>
      </w:r>
    </w:p>
    <w:p>
      <w:pPr>
        <w:pStyle w:val="ListParagraph"/>
        <w:numPr>
          <w:ilvl w:val="0"/>
          <w:numId w:val="2"/>
        </w:numPr>
        <w:spacing w:after="30" w:before="0"/>
      </w:pPr>
      <w:r>
        <w:rPr>
          <w:rFonts w:ascii="Arial" w:cs="Arial" w:eastAsia="Arial" w:hAnsi="Arial"/>
          <w:color w:val="111111"/>
          <w:sz w:val="18"/>
          <w:szCs w:val="18"/>
        </w:rPr>
        <w:t xml:space="preserve">National Finalist &amp; Regional Round Winner — AIMA 7th Chanakya Business Simulation Games 2026 | MIT-ADT University, Pune — competed against teams from premier management institutes across India.</w:t>
      </w:r>
    </w:p>
    <w:p>
      <w:pPr>
        <w:pStyle w:val="ListParagraph"/>
        <w:numPr>
          <w:ilvl w:val="0"/>
          <w:numId w:val="2"/>
        </w:numPr>
        <w:spacing w:after="30" w:before="0"/>
      </w:pPr>
      <w:r>
        <w:rPr>
          <w:rFonts w:ascii="Arial" w:cs="Arial" w:eastAsia="Arial" w:hAnsi="Arial"/>
          <w:color w:val="111111"/>
          <w:sz w:val="18"/>
          <w:szCs w:val="18"/>
        </w:rPr>
        <w:t xml:space="preserve">International Speaker — Bali ICPM (2025); Participant — AIBPM Conferences (2025) on AI, Economics &amp; Sustainable Business Growth Strategy.</w:t>
      </w:r>
    </w:p>
    <w:p>
      <w:pPr>
        <w:spacing w:after="40"/>
      </w:pPr>
    </w:p>
    <w:sectPr>
      <w:pgSz w:w="12240" w:h="15840" w:orient="portrait"/>
      <w:pgMar w:top="60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2026-06-11T08:55:46.067Z</dcterms:created>
  <dcterms:modified xsi:type="dcterms:W3CDTF">2026-06-11T08:55:46.079Z</dcterms:modified>
</cp:coreProperties>
</file>

<file path=docProps/custom.xml><?xml version="1.0" encoding="utf-8"?>
<Properties xmlns="http://schemas.openxmlformats.org/officeDocument/2006/custom-properties" xmlns:vt="http://schemas.openxmlformats.org/officeDocument/2006/docPropsVTypes"/>
</file>