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Problem–Solution Fit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Project Design Phase | Mapping stakeholder needs to the implemented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3. Project Design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Project-specific description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Problem to solve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Network-service requests need a consistent intake form, mandatory information checks, traceable request identifiers, explicit decisions and status updates.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Target users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Requesters, approvers, network/service team members and the ServiceNow administrator.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Proposed solution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 Catalog Network Request item creates REQ/RITM records, uses the existing approval/rejection path and generates lifecycle email notifications.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Evidence of fit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The catalog form opens; mandatory fields block an incomplete order; REQ0010004 links to RITM0010005; approval/rejection tests were confirmed; test inbox received notification emails.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Novelty / differentiation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Uses native ServiceNow catalog and request lifecycle capabilities in a compact workflow instead of introducing a separate custom portal/backend for the prototype.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Customer satisfaction / social impact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Intended to improve clarity, traceability and reduce incomplete submissions. No formal user-satisfaction survey or measured business impact has been conducted.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Operating / business model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Internal service-management workflow. No commercial revenue model is claimed for this enrolled project.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Scalability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Can be extended with routing rules, SLA tracking, dashboards and authorized network automation after governance and performance testing.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Key risk / constraint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PDI mail restrictions, five queued emails at last check, inbound-email diagnostics non-operational, no formal load test, and approval record traceability follow-up.</w:t>
            </w:r>
          </w:p>
        </w:tc>
      </w:tr>
    </w:tbl>
    <w:p>
      <w:pPr>
        <w:spacing w:after="20"/>
      </w:pPr>
    </w:p>
    <w:p>
      <w:pPr>
        <w:pStyle w:val="Heading1"/>
      </w:pPr>
      <w:r>
        <w:t>Fit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A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8"/>
              </w:rPr>
            </w:r>
            <w:r>
              <w:rPr>
                <w:rFonts w:ascii="Aptos" w:hAnsi="Aptos"/>
                <w:b/>
                <w:color w:val="1F2937"/>
                <w:sz w:val="18"/>
              </w:rPr>
              <w:t xml:space="preserve">Assessment  </w:t>
            </w:r>
            <w:r>
              <w:rPr>
                <w:rFonts w:ascii="Aptos" w:hAnsi="Aptos"/>
                <w:color w:val="1F2937"/>
                <w:sz w:val="18"/>
              </w:rPr>
              <w:t>Core workflow fit is supported by functional evidence. Production readiness and quantitative user/business impact remain unproven; treat them as future validation areas.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