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Aptos Display" w:hAnsi="Aptos Display"/>
          <w:b/>
          <w:color w:val="12324A"/>
          <w:sz w:val="46"/>
        </w:rPr>
        <w:t>Proposed Solution</w:t>
      </w:r>
    </w:p>
    <w:p>
      <w:pPr>
        <w:spacing w:after="160"/>
      </w:pPr>
      <w:r>
        <w:rPr>
          <w:rFonts w:ascii="Aptos" w:hAnsi="Aptos"/>
          <w:color w:val="087E8B"/>
          <w:sz w:val="22"/>
        </w:rPr>
        <w:t>Project Design Phase | ServiceNow implementation proposal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vAlign w:val="center"/>
            <w:shd w:fill="F5F8FA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6"/>
              </w:rPr>
            </w:r>
            <w:r>
              <w:rPr>
                <w:rFonts w:ascii="Aptos" w:hAnsi="Aptos"/>
                <w:b/>
                <w:color w:val="1F2937"/>
                <w:sz w:val="16"/>
              </w:rPr>
              <w:t>Project</w:t>
            </w:r>
          </w:p>
        </w:tc>
        <w:tc>
          <w:tcPr>
            <w:tcW w:type="dxa" w:w="2541"/>
            <w:vAlign w:val="center"/>
            <w:shd w:fill="F5F8FA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6"/>
              </w:rPr>
            </w:r>
            <w:r>
              <w:rPr>
                <w:rFonts w:ascii="Aptos" w:hAnsi="Aptos"/>
                <w:b w:val="0"/>
                <w:color w:val="1F2937"/>
                <w:sz w:val="16"/>
              </w:rPr>
              <w:t>Automated Network Request Management</w:t>
            </w:r>
          </w:p>
        </w:tc>
        <w:tc>
          <w:tcPr>
            <w:tcW w:type="dxa" w:w="2541"/>
            <w:vAlign w:val="center"/>
            <w:shd w:fill="F5F8FA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6"/>
              </w:rPr>
            </w:r>
            <w:r>
              <w:rPr>
                <w:rFonts w:ascii="Aptos" w:hAnsi="Aptos"/>
                <w:b/>
                <w:color w:val="1F2937"/>
                <w:sz w:val="16"/>
              </w:rPr>
              <w:t>Date</w:t>
            </w:r>
          </w:p>
        </w:tc>
        <w:tc>
          <w:tcPr>
            <w:tcW w:type="dxa" w:w="2541"/>
            <w:vAlign w:val="center"/>
            <w:shd w:fill="F5F8FA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6"/>
              </w:rPr>
            </w:r>
            <w:r>
              <w:rPr>
                <w:rFonts w:ascii="Aptos" w:hAnsi="Aptos"/>
                <w:b w:val="0"/>
                <w:color w:val="1F2937"/>
                <w:sz w:val="16"/>
              </w:rPr>
              <w:t>20 October 2026</w:t>
            </w:r>
          </w:p>
        </w:tc>
      </w:tr>
      <w:tr>
        <w:tc>
          <w:tcPr>
            <w:tcW w:type="dxa" w:w="2541"/>
            <w:vAlign w:val="center"/>
            <w:shd w:fill="EAF3F6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6"/>
              </w:rPr>
            </w:r>
            <w:r>
              <w:rPr>
                <w:rFonts w:ascii="Aptos" w:hAnsi="Aptos"/>
                <w:b/>
                <w:color w:val="1F2937"/>
                <w:sz w:val="16"/>
              </w:rPr>
              <w:t>Owner / demonstrator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6"/>
              </w:rPr>
            </w:r>
            <w:r>
              <w:rPr>
                <w:rFonts w:ascii="Aptos" w:hAnsi="Aptos"/>
                <w:b w:val="0"/>
                <w:color w:val="1F2937"/>
                <w:sz w:val="16"/>
              </w:rPr>
              <w:t>PILLEM RAHUL</w:t>
            </w:r>
          </w:p>
        </w:tc>
        <w:tc>
          <w:tcPr>
            <w:tcW w:type="dxa" w:w="2541"/>
            <w:vAlign w:val="center"/>
            <w:shd w:fill="EAF3F6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6"/>
              </w:rPr>
            </w:r>
            <w:r>
              <w:rPr>
                <w:rFonts w:ascii="Aptos" w:hAnsi="Aptos"/>
                <w:b/>
                <w:color w:val="1F2937"/>
                <w:sz w:val="16"/>
              </w:rPr>
              <w:t>SkillWallet ID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6"/>
              </w:rPr>
            </w:r>
            <w:r>
              <w:rPr>
                <w:rFonts w:ascii="Aptos" w:hAnsi="Aptos"/>
                <w:b w:val="0"/>
                <w:color w:val="1F2937"/>
                <w:sz w:val="16"/>
              </w:rPr>
              <w:t>SWUID2026232277</w:t>
            </w:r>
          </w:p>
        </w:tc>
      </w:tr>
      <w:tr>
        <w:tc>
          <w:tcPr>
            <w:tcW w:type="dxa" w:w="2541"/>
            <w:vAlign w:val="center"/>
            <w:shd w:fill="F5F8FA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6"/>
              </w:rPr>
            </w:r>
            <w:r>
              <w:rPr>
                <w:rFonts w:ascii="Aptos" w:hAnsi="Aptos"/>
                <w:b/>
                <w:color w:val="1F2937"/>
                <w:sz w:val="16"/>
              </w:rPr>
              <w:t>Platform</w:t>
            </w:r>
          </w:p>
        </w:tc>
        <w:tc>
          <w:tcPr>
            <w:tcW w:type="dxa" w:w="2541"/>
            <w:vAlign w:val="center"/>
            <w:shd w:fill="F5F8FA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6"/>
              </w:rPr>
            </w:r>
            <w:r>
              <w:rPr>
                <w:rFonts w:ascii="Aptos" w:hAnsi="Aptos"/>
                <w:b w:val="0"/>
                <w:color w:val="1F2937"/>
                <w:sz w:val="16"/>
              </w:rPr>
              <w:t>ServiceNow PDI</w:t>
            </w:r>
          </w:p>
        </w:tc>
        <w:tc>
          <w:tcPr>
            <w:tcW w:type="dxa" w:w="2541"/>
            <w:vAlign w:val="center"/>
            <w:shd w:fill="F5F8FA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6"/>
              </w:rPr>
            </w:r>
            <w:r>
              <w:rPr>
                <w:rFonts w:ascii="Aptos" w:hAnsi="Aptos"/>
                <w:b/>
                <w:color w:val="1F2937"/>
                <w:sz w:val="16"/>
              </w:rPr>
              <w:t>Repository</w:t>
            </w:r>
          </w:p>
        </w:tc>
        <w:tc>
          <w:tcPr>
            <w:tcW w:type="dxa" w:w="2541"/>
            <w:vAlign w:val="center"/>
            <w:shd w:fill="F5F8FA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6"/>
              </w:rPr>
            </w:r>
            <w:r>
              <w:rPr>
                <w:rFonts w:ascii="Aptos" w:hAnsi="Aptos"/>
                <w:b w:val="0"/>
                <w:color w:val="1F2937"/>
                <w:sz w:val="16"/>
              </w:rPr>
              <w:t>https://github.com/rahulp06/Automated_Network_Request_Management_in_ServiceNow</w:t>
            </w:r>
          </w:p>
        </w:tc>
      </w:tr>
    </w:tbl>
    <w:p/>
    <w:p>
      <w:pPr>
        <w:spacing w:after="80"/>
      </w:pPr>
      <w:r>
        <w:rPr>
          <w:b/>
          <w:color w:val="64748B"/>
          <w:sz w:val="18"/>
        </w:rPr>
        <w:t>Phase: 3. Project Design Phase</w:t>
      </w:r>
    </w:p>
    <w:p>
      <w:pPr>
        <w:pStyle w:val="Heading1"/>
      </w:pPr>
      <w:r>
        <w:t>Solution objective</w:t>
      </w:r>
    </w:p>
    <w:p>
      <w:r>
        <w:t>Provide a controlled Service Catalog workflow for network-service requests that validates essential inputs, creates traceable records, routes decisions through the existing approval path, and notifies stakeholders of lifecycle events.</w:t>
      </w:r>
    </w:p>
    <w:p>
      <w:pPr>
        <w:pStyle w:val="Heading1"/>
      </w:pPr>
      <w:r>
        <w:t>Functional solution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12324A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Step</w:t>
            </w:r>
          </w:p>
        </w:tc>
        <w:tc>
          <w:tcPr>
            <w:tcW w:type="dxa" w:w="5083"/>
            <w:vAlign w:val="center"/>
            <w:shd w:fill="12324A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Implemented behavior / observation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6"/>
              </w:rPr>
            </w:r>
            <w:r>
              <w:rPr>
                <w:rFonts w:ascii="Aptos" w:hAnsi="Aptos"/>
                <w:b w:val="0"/>
                <w:color w:val="1F2937"/>
                <w:sz w:val="16"/>
              </w:rPr>
              <w:t>1. Intake</w:t>
            </w:r>
          </w:p>
        </w:tc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6"/>
              </w:rPr>
            </w:r>
            <w:r>
              <w:rPr>
                <w:rFonts w:ascii="Aptos" w:hAnsi="Aptos"/>
                <w:b w:val="0"/>
                <w:color w:val="1F2937"/>
                <w:sz w:val="16"/>
              </w:rPr>
              <w:t>Requester opens Service Catalog &gt; Top Requests &gt; Network Request.</w:t>
            </w:r>
          </w:p>
        </w:tc>
      </w:tr>
      <w:tr>
        <w:tc>
          <w:tcPr>
            <w:tcW w:type="dxa" w:w="5083"/>
            <w:vAlign w:val="center"/>
            <w:shd w:fill="F5F8FA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6"/>
              </w:rPr>
            </w:r>
            <w:r>
              <w:rPr>
                <w:rFonts w:ascii="Aptos" w:hAnsi="Aptos"/>
                <w:b w:val="0"/>
                <w:color w:val="1F2937"/>
                <w:sz w:val="16"/>
              </w:rPr>
              <w:t>2. Validation</w:t>
            </w:r>
          </w:p>
        </w:tc>
        <w:tc>
          <w:tcPr>
            <w:tcW w:type="dxa" w:w="5083"/>
            <w:vAlign w:val="center"/>
            <w:shd w:fill="F5F8FA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6"/>
              </w:rPr>
            </w:r>
            <w:r>
              <w:rPr>
                <w:rFonts w:ascii="Aptos" w:hAnsi="Aptos"/>
                <w:b w:val="0"/>
                <w:color w:val="1F2937"/>
                <w:sz w:val="16"/>
              </w:rPr>
              <w:t>Required variables shown on the form: Requested For, Opened on behalf of, Mobile Number and Type of Connection. An incomplete order was blocked.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6"/>
              </w:rPr>
            </w:r>
            <w:r>
              <w:rPr>
                <w:rFonts w:ascii="Aptos" w:hAnsi="Aptos"/>
                <w:b w:val="0"/>
                <w:color w:val="1F2937"/>
                <w:sz w:val="16"/>
              </w:rPr>
              <w:t>3. Record creation</w:t>
            </w:r>
          </w:p>
        </w:tc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6"/>
              </w:rPr>
            </w:r>
            <w:r>
              <w:rPr>
                <w:rFonts w:ascii="Aptos" w:hAnsi="Aptos"/>
                <w:b w:val="0"/>
                <w:color w:val="1F2937"/>
                <w:sz w:val="16"/>
              </w:rPr>
              <w:t>A parent REQ and child RITM are created and linked; observed example: REQ0010004 → RITM0010005.</w:t>
            </w:r>
          </w:p>
        </w:tc>
      </w:tr>
      <w:tr>
        <w:tc>
          <w:tcPr>
            <w:tcW w:type="dxa" w:w="5083"/>
            <w:vAlign w:val="center"/>
            <w:shd w:fill="F5F8FA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6"/>
              </w:rPr>
            </w:r>
            <w:r>
              <w:rPr>
                <w:rFonts w:ascii="Aptos" w:hAnsi="Aptos"/>
                <w:b w:val="0"/>
                <w:color w:val="1F2937"/>
                <w:sz w:val="16"/>
              </w:rPr>
              <w:t>4. Decision</w:t>
            </w:r>
          </w:p>
        </w:tc>
        <w:tc>
          <w:tcPr>
            <w:tcW w:type="dxa" w:w="5083"/>
            <w:vAlign w:val="center"/>
            <w:shd w:fill="F5F8FA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6"/>
              </w:rPr>
            </w:r>
            <w:r>
              <w:rPr>
                <w:rFonts w:ascii="Aptos" w:hAnsi="Aptos"/>
                <w:b w:val="0"/>
                <w:color w:val="1F2937"/>
                <w:sz w:val="16"/>
              </w:rPr>
              <w:t>The current approval process supports approval and rejection; tester confirmed both paths.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6"/>
              </w:rPr>
            </w:r>
            <w:r>
              <w:rPr>
                <w:rFonts w:ascii="Aptos" w:hAnsi="Aptos"/>
                <w:b w:val="0"/>
                <w:color w:val="1F2937"/>
                <w:sz w:val="16"/>
              </w:rPr>
              <w:t>5. Notification</w:t>
            </w:r>
          </w:p>
        </w:tc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6"/>
              </w:rPr>
            </w:r>
            <w:r>
              <w:rPr>
                <w:rFonts w:ascii="Aptos" w:hAnsi="Aptos"/>
                <w:b w:val="0"/>
                <w:color w:val="1F2937"/>
                <w:sz w:val="16"/>
              </w:rPr>
              <w:t>ServiceNow generates submission/creation/approval emails. SMTP sending was enabled and messages arrived at the configured QA inbox.</w:t>
            </w:r>
          </w:p>
        </w:tc>
      </w:tr>
      <w:tr>
        <w:tc>
          <w:tcPr>
            <w:tcW w:type="dxa" w:w="5083"/>
            <w:vAlign w:val="center"/>
            <w:shd w:fill="F5F8FA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6"/>
              </w:rPr>
            </w:r>
            <w:r>
              <w:rPr>
                <w:rFonts w:ascii="Aptos" w:hAnsi="Aptos"/>
                <w:b w:val="0"/>
                <w:color w:val="1F2937"/>
                <w:sz w:val="16"/>
              </w:rPr>
              <w:t>6. Tracking</w:t>
            </w:r>
          </w:p>
        </w:tc>
        <w:tc>
          <w:tcPr>
            <w:tcW w:type="dxa" w:w="5083"/>
            <w:vAlign w:val="center"/>
            <w:shd w:fill="F5F8FA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6"/>
              </w:rPr>
            </w:r>
            <w:r>
              <w:rPr>
                <w:rFonts w:ascii="Aptos" w:hAnsi="Aptos"/>
                <w:b w:val="0"/>
                <w:color w:val="1F2937"/>
                <w:sz w:val="16"/>
              </w:rPr>
              <w:t>Request approval/state and item stage/state can be inspected; approved item may remain Open while fulfillment continues.</w:t>
            </w:r>
          </w:p>
        </w:tc>
      </w:tr>
    </w:tbl>
    <w:p>
      <w:pPr>
        <w:spacing w:after="20"/>
      </w:pPr>
    </w:p>
    <w:p>
      <w:pPr>
        <w:pStyle w:val="Heading1"/>
      </w:pPr>
      <w:r>
        <w:t>Value and uniqueness</w:t>
      </w:r>
    </w:p>
    <w:p>
      <w:pPr>
        <w:pStyle w:val="ListBullet"/>
        <w:spacing w:after="40"/>
      </w:pPr>
      <w:r>
        <w:t>One controlled entry point for network request information.</w:t>
      </w:r>
    </w:p>
    <w:p>
      <w:pPr>
        <w:pStyle w:val="ListBullet"/>
        <w:spacing w:after="40"/>
      </w:pPr>
      <w:r>
        <w:t>Native request and requested-item records simplify traceability.</w:t>
      </w:r>
    </w:p>
    <w:p>
      <w:pPr>
        <w:pStyle w:val="ListBullet"/>
        <w:spacing w:after="40"/>
      </w:pPr>
      <w:r>
        <w:t>Mandatory validation reduces incomplete catalog orders.</w:t>
      </w:r>
    </w:p>
    <w:p>
      <w:pPr>
        <w:pStyle w:val="ListBullet"/>
        <w:spacing w:after="40"/>
      </w:pPr>
      <w:r>
        <w:t>Existing approval handling avoids reimplementing decision logic.</w:t>
      </w:r>
    </w:p>
    <w:p>
      <w:pPr>
        <w:pStyle w:val="ListBullet"/>
        <w:spacing w:after="40"/>
      </w:pPr>
      <w:r>
        <w:t>QA-safe email routing lets outbound delivery be tested without targeting normal recipients.</w:t>
      </w:r>
    </w:p>
    <w:p>
      <w:pPr>
        <w:pStyle w:val="Heading1"/>
      </w:pPr>
      <w:r>
        <w:t>Future extensions (not claimed implemented)</w:t>
      </w:r>
    </w:p>
    <w:p>
      <w:pPr>
        <w:pStyle w:val="ListBullet"/>
        <w:spacing w:after="40"/>
      </w:pPr>
      <w:r>
        <w:t>Assignment rules by connection type or location.</w:t>
      </w:r>
    </w:p>
    <w:p>
      <w:pPr>
        <w:pStyle w:val="ListBullet"/>
        <w:spacing w:after="40"/>
      </w:pPr>
      <w:r>
        <w:t>SLA timers, dashboards and operational reporting.</w:t>
      </w:r>
    </w:p>
    <w:p>
      <w:pPr>
        <w:pStyle w:val="ListBullet"/>
        <w:spacing w:after="40"/>
      </w:pPr>
      <w:r>
        <w:t>Authorized integrations with CMDB/network provisioning tools.</w:t>
      </w:r>
    </w:p>
    <w:p>
      <w:pPr>
        <w:pStyle w:val="ListBullet"/>
        <w:spacing w:after="40"/>
      </w:pPr>
      <w:r>
        <w:t>Role/access review, approval audit trace, formal performance tests and production mail approval.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4748B"/>
        <w:sz w:val="16"/>
      </w:rPr>
      <w:t xml:space="preserve">Automated Network Request Management  •  SkillWallet ID SWUID2026232277  • 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087E8B"/>
        <w:sz w:val="16"/>
      </w:rPr>
      <w:t>SKILLWALLET PROJECT  |  SERVICENOW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2324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087E8B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ptos" w:hAnsi="Aptos"/>
      <w:b/>
      <w:bCs/>
      <w:color w:val="087E8B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Aptos Display" w:hAnsi="Aptos Display"/>
      <w:b/>
      <w:color w:val="12324A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