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160"/>
      </w:pPr>
      <w:r>
        <w:rPr>
          <w:rFonts w:ascii="Liberation Sans" w:hAnsi="Liberation Sans"/>
          <w:b/>
          <w:color w:val="087E8B"/>
          <w:sz w:val="21"/>
        </w:rPr>
        <w:t>PROJECT DOCUMENTATION</w:t>
      </w:r>
    </w:p>
    <w:p>
      <w:pPr>
        <w:pStyle w:val="Title"/>
        <w:spacing w:after="160"/>
      </w:pPr>
      <w:r>
        <w:t>Automated Network</w:t>
        <w:br/>
        <w:t>Request Management</w:t>
      </w:r>
    </w:p>
    <w:p>
      <w:pPr>
        <w:spacing w:after="360"/>
      </w:pPr>
      <w:r>
        <w:rPr>
          <w:rFonts w:ascii="Liberation Sans" w:hAnsi="Liberation Sans"/>
          <w:color w:val="536574"/>
          <w:sz w:val="22"/>
        </w:rPr>
        <w:t>ServiceNow Personal Developer Instance  |  Phase 4 QA and Phase 5 Handover</w:t>
      </w:r>
    </w:p>
    <w:tbl>
      <w:tblPr>
        <w:tblW w:type="auto" w:w="0"/>
        <w:jc w:val="center"/>
        <w:tblLayout w:type="fixed"/>
        <w:tblLook w:firstColumn="1" w:firstRow="1" w:lastColumn="0" w:lastRow="0" w:noHBand="0" w:noVBand="1" w:val="04A0"/>
        <w:tblBorders>
          <w:top w:val="single" w:sz="4" w:space="0" w:color="D6E1E6"/>
          <w:left w:val="single" w:sz="4" w:space="0" w:color="D6E1E6"/>
          <w:bottom w:val="single" w:sz="4" w:space="0" w:color="D6E1E6"/>
          <w:right w:val="single" w:sz="4" w:space="0" w:color="D6E1E6"/>
          <w:insideH w:val="single" w:sz="4" w:space="0" w:color="D6E1E6"/>
          <w:insideV w:val="single" w:sz="4" w:space="0" w:color="D6E1E6"/>
        </w:tblBorders>
      </w:tblPr>
      <w:tblGrid>
        <w:gridCol w:w="5141"/>
        <w:gridCol w:w="5141"/>
      </w:tblGrid>
      <w:tr>
        <w:trPr>
          <w:tblHeader w:val="true"/>
          <w:cantSplit/>
        </w:trPr>
        <w:tc>
          <w:tcPr>
            <w:tcW w:type="dxa" w:w="2376"/>
            <w:vAlign w:val="center"/>
            <w:tcMar>
              <w:top w:w="65" w:type="dxa"/>
              <w:start w:w="80" w:type="dxa"/>
              <w:bottom w:w="65" w:type="dxa"/>
              <w:end w:w="80" w:type="dxa"/>
            </w:tcMar>
            <w:shd w:fill="123047"/>
          </w:tcPr>
          <w:p>
            <w:pPr>
              <w:spacing w:after="0" w:before="0" w:line="240" w:lineRule="auto"/>
            </w:pPr>
            <w:r/>
            <w:r>
              <w:rPr>
                <w:rFonts w:ascii="Liberation Sans" w:hAnsi="Liberation Sans"/>
                <w:b/>
                <w:color w:val="FFFFFF"/>
                <w:sz w:val="16"/>
              </w:rPr>
              <w:t>DOCUMENT FIELD</w:t>
            </w:r>
          </w:p>
        </w:tc>
        <w:tc>
          <w:tcPr>
            <w:tcW w:type="dxa" w:w="7704"/>
            <w:vAlign w:val="center"/>
            <w:tcMar>
              <w:top w:w="65" w:type="dxa"/>
              <w:start w:w="80" w:type="dxa"/>
              <w:bottom w:w="65" w:type="dxa"/>
              <w:end w:w="80" w:type="dxa"/>
            </w:tcMar>
            <w:shd w:fill="123047"/>
          </w:tcPr>
          <w:p>
            <w:pPr>
              <w:spacing w:after="0" w:before="0" w:line="240" w:lineRule="auto"/>
            </w:pPr>
            <w:r/>
            <w:r>
              <w:rPr>
                <w:rFonts w:ascii="Liberation Sans" w:hAnsi="Liberation Sans"/>
                <w:b/>
                <w:color w:val="FFFFFF"/>
                <w:sz w:val="16"/>
              </w:rPr>
              <w:t>VALUE</w:t>
            </w:r>
          </w:p>
        </w:tc>
      </w:tr>
      <w:tr>
        <w:trPr>
          <w:cantSplit/>
        </w:trPr>
        <w:tc>
          <w:tcPr>
            <w:tcW w:type="dxa" w:w="2376"/>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7"/>
              </w:rPr>
              <w:t>Instance reference</w:t>
            </w:r>
          </w:p>
        </w:tc>
        <w:tc>
          <w:tcPr>
            <w:tcW w:type="dxa" w:w="7704"/>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7"/>
              </w:rPr>
              <w:t>dev446474 (Personal Developer Instance)</w:t>
            </w:r>
          </w:p>
        </w:tc>
      </w:tr>
      <w:tr>
        <w:trPr>
          <w:cantSplit/>
        </w:trPr>
        <w:tc>
          <w:tcPr>
            <w:tcW w:type="dxa" w:w="2376"/>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7"/>
              </w:rPr>
              <w:t>Document date</w:t>
            </w:r>
          </w:p>
        </w:tc>
        <w:tc>
          <w:tcPr>
            <w:tcW w:type="dxa" w:w="7704"/>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7"/>
              </w:rPr>
              <w:t>20 October 2026</w:t>
            </w:r>
          </w:p>
        </w:tc>
      </w:tr>
      <w:tr>
        <w:trPr>
          <w:cantSplit/>
        </w:trPr>
        <w:tc>
          <w:tcPr>
            <w:tcW w:type="dxa" w:w="2376"/>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7"/>
              </w:rPr>
              <w:t>Document status</w:t>
            </w:r>
          </w:p>
        </w:tc>
        <w:tc>
          <w:tcPr>
            <w:tcW w:type="dxa" w:w="7704"/>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7"/>
              </w:rPr>
              <w:t>Phase 5 handover baseline, based on observed tests</w:t>
            </w:r>
          </w:p>
        </w:tc>
      </w:tr>
      <w:tr>
        <w:trPr>
          <w:cantSplit/>
        </w:trPr>
        <w:tc>
          <w:tcPr>
            <w:tcW w:type="dxa" w:w="2376"/>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7"/>
              </w:rPr>
              <w:t>System under test</w:t>
            </w:r>
          </w:p>
        </w:tc>
        <w:tc>
          <w:tcPr>
            <w:tcW w:type="dxa" w:w="7704"/>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7"/>
              </w:rPr>
              <w:t>Service Catalog item: Network Request / Network Request Management</w:t>
            </w:r>
          </w:p>
        </w:tc>
      </w:tr>
      <w:tr>
        <w:tc>
          <w:tcPr>
            <w:tcW w:type="dxa" w:w="5141"/>
          </w:tcPr>
          <w:p>
            <w:r>
              <w:t>SkillWallet ID</w:t>
            </w:r>
          </w:p>
        </w:tc>
        <w:tc>
          <w:tcPr>
            <w:tcW w:type="dxa" w:w="5141"/>
          </w:tcPr>
          <w:p>
            <w:r>
              <w:t>SWUID2026232277</w:t>
            </w:r>
          </w:p>
        </w:tc>
      </w:tr>
      <w:tr>
        <w:tc>
          <w:tcPr>
            <w:tcW w:type="dxa" w:w="5141"/>
          </w:tcPr>
          <w:p>
            <w:r>
              <w:t>GitHub repository</w:t>
            </w:r>
          </w:p>
        </w:tc>
        <w:tc>
          <w:tcPr>
            <w:tcW w:type="dxa" w:w="5141"/>
          </w:tcPr>
          <w:p>
            <w:r>
              <w:t>https://github.com/rahulp06/Automated_Network_Request_Management_in_ServiceNow</w:t>
            </w:r>
          </w:p>
        </w:tc>
      </w:tr>
    </w:tbl>
    <w:p>
      <w:pPr>
        <w:spacing w:after="0" w:line="144" w:lineRule="auto"/>
      </w:pPr>
    </w:p>
    <w:p>
      <w:pPr>
        <w:pStyle w:val="Heading1"/>
        <w:keepNext/>
        <w:spacing w:after="80" w:before="100"/>
      </w:pPr>
      <w:r>
        <w:t>Executive summary</w:t>
      </w:r>
    </w:p>
    <w:p>
      <w:pPr>
        <w:spacing w:after="80" w:line="250" w:lineRule="auto"/>
      </w:pPr>
      <w:r>
        <w:rPr>
          <w:rFonts w:ascii="Liberation Sans" w:hAnsi="Liberation Sans"/>
          <w:color w:val="1F2D36"/>
          <w:sz w:val="18"/>
        </w:rPr>
        <w:t>The Network Request catalog workflow is operational in the tested paths. The user confirmed successful approval and rejection testing, the catalog form blocked an order when required variables were left blank, and outbound notification messages were observed in the configured disposable test inbox. The SMTP issue was resolved by correcting extra spaces in the Google App Password and activating the configured SMTP account.</w:t>
      </w:r>
    </w:p>
    <w:tbl>
      <w:tblPr>
        <w:tblW w:type="auto" w:w="0"/>
        <w:jc w:val="center"/>
        <w:tblLayout w:type="fixed"/>
        <w:tblLook w:firstColumn="1" w:firstRow="1" w:lastColumn="0" w:lastRow="0" w:noHBand="0" w:noVBand="1" w:val="04A0"/>
        <w:tblBorders>
          <w:top w:val="single" w:sz="0" w:space="0" w:color="EAF6EF"/>
          <w:left w:val="single" w:sz="0" w:space="0" w:color="EAF6EF"/>
          <w:bottom w:val="single" w:sz="0" w:space="0" w:color="EAF6EF"/>
          <w:right w:val="single" w:sz="0" w:space="0" w:color="EAF6EF"/>
          <w:insideH w:val="single" w:sz="0" w:space="0" w:color="EAF6EF"/>
          <w:insideV w:val="single" w:sz="0" w:space="0" w:color="EAF6EF"/>
        </w:tblBorders>
      </w:tblPr>
      <w:tblGrid>
        <w:gridCol w:w="10080"/>
      </w:tblGrid>
      <w:tr>
        <w:tc>
          <w:tcPr>
            <w:tcW w:type="dxa" w:w="10282"/>
            <w:shd w:fill="EAF6EF"/>
            <w:tcMar>
              <w:top w:w="95" w:type="dxa"/>
              <w:start w:w="140" w:type="dxa"/>
              <w:bottom w:w="95" w:type="dxa"/>
              <w:end w:w="140" w:type="dxa"/>
            </w:tcMar>
          </w:tcPr>
          <w:p>
            <w:pPr>
              <w:spacing w:after="40"/>
            </w:pPr>
            <w:r/>
            <w:r>
              <w:rPr>
                <w:rFonts w:ascii="Liberation Sans" w:hAnsi="Liberation Sans"/>
                <w:b/>
                <w:color w:val="237A4B"/>
                <w:sz w:val="18"/>
              </w:rPr>
              <w:t>Current conclusion</w:t>
            </w:r>
          </w:p>
          <w:p>
            <w:pPr>
              <w:spacing w:after="0" w:line="240" w:lineRule="auto"/>
            </w:pPr>
            <w:r>
              <w:rPr>
                <w:rFonts w:ascii="Liberation Sans" w:hAnsi="Liberation Sans"/>
                <w:color w:val="1F2D36"/>
                <w:sz w:val="17"/>
              </w:rPr>
              <w:t>Core catalog validation, approval/rejection testing, request-to-item linking, and outbound notification delivery have evidence of success. A few environment and cleanup items remain transparently listed in this handover.</w:t>
            </w:r>
          </w:p>
        </w:tc>
      </w:tr>
    </w:tbl>
    <w:p>
      <w:pPr>
        <w:spacing w:after="0"/>
      </w:pPr>
    </w:p>
    <w:p>
      <w:pPr>
        <w:pStyle w:val="Heading2"/>
        <w:keepNext/>
        <w:spacing w:after="80" w:before="100"/>
      </w:pPr>
      <w:r>
        <w:t>What this document covers</w:t>
      </w:r>
    </w:p>
    <w:p>
      <w:pPr>
        <w:pStyle w:val="ListBullet"/>
        <w:spacing w:after="40" w:line="240" w:lineRule="auto"/>
        <w:ind w:left="317" w:hanging="187"/>
      </w:pPr>
      <w:r>
        <w:rPr>
          <w:rFonts w:ascii="Liberation Sans" w:hAnsi="Liberation Sans"/>
          <w:color w:val="1F2D36"/>
          <w:sz w:val="18"/>
        </w:rPr>
        <w:t>Observed workflow and catalog data</w:t>
      </w:r>
    </w:p>
    <w:p>
      <w:pPr>
        <w:pStyle w:val="ListBullet"/>
        <w:spacing w:after="40" w:line="240" w:lineRule="auto"/>
        <w:ind w:left="317" w:hanging="187"/>
      </w:pPr>
      <w:r>
        <w:rPr>
          <w:rFonts w:ascii="Liberation Sans" w:hAnsi="Liberation Sans"/>
          <w:color w:val="1F2D36"/>
          <w:sz w:val="18"/>
        </w:rPr>
        <w:t>Phase 4 QA results and evidence notes</w:t>
      </w:r>
    </w:p>
    <w:p>
      <w:pPr>
        <w:pStyle w:val="ListBullet"/>
        <w:spacing w:after="40" w:line="240" w:lineRule="auto"/>
        <w:ind w:left="317" w:hanging="187"/>
      </w:pPr>
      <w:r>
        <w:rPr>
          <w:rFonts w:ascii="Liberation Sans" w:hAnsi="Liberation Sans"/>
          <w:color w:val="1F2D36"/>
          <w:sz w:val="18"/>
        </w:rPr>
        <w:t>Data-integrity findings for REQ0010004 / RITM0010005</w:t>
      </w:r>
    </w:p>
    <w:p>
      <w:pPr>
        <w:pStyle w:val="ListBullet"/>
        <w:spacing w:after="40" w:line="240" w:lineRule="auto"/>
        <w:ind w:left="317" w:hanging="187"/>
      </w:pPr>
      <w:r>
        <w:rPr>
          <w:rFonts w:ascii="Liberation Sans" w:hAnsi="Liberation Sans"/>
          <w:color w:val="1F2D36"/>
          <w:sz w:val="18"/>
        </w:rPr>
        <w:t>SMTP incident resolution, safe-routing controls, and handover actions</w:t>
      </w:r>
    </w:p>
    <w:p>
      <w:r>
        <w:br w:type="page"/>
      </w:r>
    </w:p>
    <w:p>
      <w:pPr>
        <w:pStyle w:val="Heading1"/>
        <w:keepNext/>
        <w:spacing w:after="80" w:before="100"/>
      </w:pPr>
      <w:r>
        <w:t>1. Project status and solution overview</w:t>
      </w:r>
    </w:p>
    <w:tbl>
      <w:tblPr>
        <w:tblW w:type="auto" w:w="0"/>
        <w:jc w:val="center"/>
        <w:tblLayout w:type="fixed"/>
        <w:tblLook w:firstColumn="1" w:firstRow="1" w:lastColumn="0" w:lastRow="0" w:noHBand="0" w:noVBand="1" w:val="04A0"/>
        <w:tblBorders>
          <w:top w:val="single" w:sz="4" w:space="0" w:color="D6E1E6"/>
          <w:left w:val="single" w:sz="4" w:space="0" w:color="D6E1E6"/>
          <w:bottom w:val="single" w:sz="4" w:space="0" w:color="D6E1E6"/>
          <w:right w:val="single" w:sz="4" w:space="0" w:color="D6E1E6"/>
          <w:insideH w:val="single" w:sz="4" w:space="0" w:color="D6E1E6"/>
          <w:insideV w:val="single" w:sz="4" w:space="0" w:color="D6E1E6"/>
        </w:tblBorders>
      </w:tblPr>
      <w:tblGrid>
        <w:gridCol w:w="3427"/>
        <w:gridCol w:w="3427"/>
        <w:gridCol w:w="3427"/>
      </w:tblGrid>
      <w:tr>
        <w:trPr>
          <w:tblHeader w:val="true"/>
          <w:cantSplit/>
        </w:trPr>
        <w:tc>
          <w:tcPr>
            <w:tcW w:type="dxa" w:w="2448"/>
            <w:vAlign w:val="center"/>
            <w:tcMar>
              <w:top w:w="65" w:type="dxa"/>
              <w:start w:w="80" w:type="dxa"/>
              <w:bottom w:w="65" w:type="dxa"/>
              <w:end w:w="80" w:type="dxa"/>
            </w:tcMar>
            <w:shd w:fill="123047"/>
          </w:tcPr>
          <w:p>
            <w:pPr>
              <w:spacing w:after="0" w:before="0" w:line="240" w:lineRule="auto"/>
            </w:pPr>
            <w:r/>
            <w:r>
              <w:rPr>
                <w:rFonts w:ascii="Liberation Sans" w:hAnsi="Liberation Sans"/>
                <w:b/>
                <w:color w:val="FFFFFF"/>
                <w:sz w:val="16"/>
              </w:rPr>
              <w:t>WORKSTREAM</w:t>
            </w:r>
          </w:p>
        </w:tc>
        <w:tc>
          <w:tcPr>
            <w:tcW w:type="dxa" w:w="1440"/>
            <w:vAlign w:val="center"/>
            <w:tcMar>
              <w:top w:w="65" w:type="dxa"/>
              <w:start w:w="80" w:type="dxa"/>
              <w:bottom w:w="65" w:type="dxa"/>
              <w:end w:w="80" w:type="dxa"/>
            </w:tcMar>
            <w:shd w:fill="123047"/>
          </w:tcPr>
          <w:p>
            <w:pPr>
              <w:spacing w:after="0" w:before="0" w:line="240" w:lineRule="auto"/>
            </w:pPr>
            <w:r/>
            <w:r>
              <w:rPr>
                <w:rFonts w:ascii="Liberation Sans" w:hAnsi="Liberation Sans"/>
                <w:b/>
                <w:color w:val="FFFFFF"/>
                <w:sz w:val="16"/>
              </w:rPr>
              <w:t>STATUS</w:t>
            </w:r>
          </w:p>
        </w:tc>
        <w:tc>
          <w:tcPr>
            <w:tcW w:type="dxa" w:w="6192"/>
            <w:vAlign w:val="center"/>
            <w:tcMar>
              <w:top w:w="65" w:type="dxa"/>
              <w:start w:w="80" w:type="dxa"/>
              <w:bottom w:w="65" w:type="dxa"/>
              <w:end w:w="80" w:type="dxa"/>
            </w:tcMar>
            <w:shd w:fill="123047"/>
          </w:tcPr>
          <w:p>
            <w:pPr>
              <w:spacing w:after="0" w:before="0" w:line="240" w:lineRule="auto"/>
            </w:pPr>
            <w:r/>
            <w:r>
              <w:rPr>
                <w:rFonts w:ascii="Liberation Sans" w:hAnsi="Liberation Sans"/>
                <w:b/>
                <w:color w:val="FFFFFF"/>
                <w:sz w:val="16"/>
              </w:rPr>
              <w:t>EVIDENCE / NOTE</w:t>
            </w:r>
          </w:p>
        </w:tc>
      </w:tr>
      <w:tr>
        <w:trPr>
          <w:cantSplit/>
        </w:trPr>
        <w:tc>
          <w:tcPr>
            <w:tcW w:type="dxa" w:w="2448"/>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Request creation and item linkage</w:t>
            </w:r>
          </w:p>
        </w:tc>
        <w:tc>
          <w:tcPr>
            <w:tcW w:type="dxa" w:w="1440"/>
            <w:vAlign w:val="center"/>
            <w:tcMar>
              <w:top w:w="65" w:type="dxa"/>
              <w:start w:w="80" w:type="dxa"/>
              <w:bottom w:w="65" w:type="dxa"/>
              <w:end w:w="80" w:type="dxa"/>
            </w:tcMar>
            <w:shd w:fill="EAF6EF"/>
          </w:tcPr>
          <w:p>
            <w:pPr>
              <w:spacing w:after="0" w:before="0" w:line="240" w:lineRule="auto"/>
            </w:pPr>
            <w:r>
              <w:rPr>
                <w:color w:val="237A4B"/>
              </w:rPr>
            </w:r>
            <w:r>
              <w:rPr>
                <w:rFonts w:ascii="Liberation Sans" w:hAnsi="Liberation Sans"/>
                <w:b/>
                <w:color w:val="237A4B"/>
                <w:sz w:val="16"/>
              </w:rPr>
              <w:t>PASS</w:t>
            </w:r>
          </w:p>
        </w:tc>
        <w:tc>
          <w:tcPr>
            <w:tcW w:type="dxa" w:w="6192"/>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REQ0010004 is linked to RITM0010005.</w:t>
            </w:r>
          </w:p>
        </w:tc>
      </w:tr>
      <w:tr>
        <w:trPr>
          <w:cantSplit/>
        </w:trPr>
        <w:tc>
          <w:tcPr>
            <w:tcW w:type="dxa" w:w="2448"/>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Approval and rejection flows</w:t>
            </w:r>
          </w:p>
        </w:tc>
        <w:tc>
          <w:tcPr>
            <w:tcW w:type="dxa" w:w="1440"/>
            <w:vAlign w:val="center"/>
            <w:tcMar>
              <w:top w:w="65" w:type="dxa"/>
              <w:start w:w="80" w:type="dxa"/>
              <w:bottom w:w="65" w:type="dxa"/>
              <w:end w:w="80" w:type="dxa"/>
            </w:tcMar>
            <w:shd w:fill="EAF6EF"/>
          </w:tcPr>
          <w:p>
            <w:pPr>
              <w:spacing w:after="0" w:before="0" w:line="240" w:lineRule="auto"/>
            </w:pPr>
            <w:r>
              <w:rPr>
                <w:color w:val="237A4B"/>
              </w:rPr>
            </w:r>
            <w:r>
              <w:rPr>
                <w:rFonts w:ascii="Liberation Sans" w:hAnsi="Liberation Sans"/>
                <w:b/>
                <w:color w:val="237A4B"/>
                <w:sz w:val="16"/>
              </w:rPr>
              <w:t>PASS</w:t>
            </w:r>
          </w:p>
        </w:tc>
        <w:tc>
          <w:tcPr>
            <w:tcW w:type="dxa" w:w="6192"/>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Both outcomes were confirmed by the user; rejection record ID was not captured.</w:t>
            </w:r>
          </w:p>
        </w:tc>
      </w:tr>
      <w:tr>
        <w:trPr>
          <w:cantSplit/>
        </w:trPr>
        <w:tc>
          <w:tcPr>
            <w:tcW w:type="dxa" w:w="2448"/>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Required catalog variables</w:t>
            </w:r>
          </w:p>
        </w:tc>
        <w:tc>
          <w:tcPr>
            <w:tcW w:type="dxa" w:w="1440"/>
            <w:vAlign w:val="center"/>
            <w:tcMar>
              <w:top w:w="65" w:type="dxa"/>
              <w:start w:w="80" w:type="dxa"/>
              <w:bottom w:w="65" w:type="dxa"/>
              <w:end w:w="80" w:type="dxa"/>
            </w:tcMar>
            <w:shd w:fill="EAF6EF"/>
          </w:tcPr>
          <w:p>
            <w:pPr>
              <w:spacing w:after="0" w:before="0" w:line="240" w:lineRule="auto"/>
            </w:pPr>
            <w:r>
              <w:rPr>
                <w:color w:val="237A4B"/>
              </w:rPr>
            </w:r>
            <w:r>
              <w:rPr>
                <w:rFonts w:ascii="Liberation Sans" w:hAnsi="Liberation Sans"/>
                <w:b/>
                <w:color w:val="237A4B"/>
                <w:sz w:val="16"/>
              </w:rPr>
              <w:t>PASS</w:t>
            </w:r>
          </w:p>
        </w:tc>
        <w:tc>
          <w:tcPr>
            <w:tcW w:type="dxa" w:w="6192"/>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The order form blocked submission when required values were blank.</w:t>
            </w:r>
          </w:p>
        </w:tc>
      </w:tr>
      <w:tr>
        <w:trPr>
          <w:cantSplit/>
        </w:trPr>
        <w:tc>
          <w:tcPr>
            <w:tcW w:type="dxa" w:w="2448"/>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Outbound SMTP and email delivery</w:t>
            </w:r>
          </w:p>
        </w:tc>
        <w:tc>
          <w:tcPr>
            <w:tcW w:type="dxa" w:w="1440"/>
            <w:vAlign w:val="center"/>
            <w:tcMar>
              <w:top w:w="65" w:type="dxa"/>
              <w:start w:w="80" w:type="dxa"/>
              <w:bottom w:w="65" w:type="dxa"/>
              <w:end w:w="80" w:type="dxa"/>
            </w:tcMar>
            <w:shd w:fill="EAF6EF"/>
          </w:tcPr>
          <w:p>
            <w:pPr>
              <w:spacing w:after="0" w:before="0" w:line="240" w:lineRule="auto"/>
            </w:pPr>
            <w:r>
              <w:rPr>
                <w:color w:val="237A4B"/>
              </w:rPr>
            </w:r>
            <w:r>
              <w:rPr>
                <w:rFonts w:ascii="Liberation Sans" w:hAnsi="Liberation Sans"/>
                <w:b/>
                <w:color w:val="237A4B"/>
                <w:sz w:val="16"/>
              </w:rPr>
              <w:t>PASS</w:t>
            </w:r>
          </w:p>
        </w:tc>
        <w:tc>
          <w:tcPr>
            <w:tcW w:type="dxa" w:w="6192"/>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Sender entered Running state, queue fell from 20 to 5, and messages appeared in the test inbox.</w:t>
            </w:r>
          </w:p>
        </w:tc>
      </w:tr>
      <w:tr>
        <w:trPr>
          <w:cantSplit/>
        </w:trPr>
        <w:tc>
          <w:tcPr>
            <w:tcW w:type="dxa" w:w="2448"/>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Queue and inbound-email cleanup</w:t>
            </w:r>
          </w:p>
        </w:tc>
        <w:tc>
          <w:tcPr>
            <w:tcW w:type="dxa" w:w="1440"/>
            <w:vAlign w:val="center"/>
            <w:tcMar>
              <w:top w:w="65" w:type="dxa"/>
              <w:start w:w="80" w:type="dxa"/>
              <w:bottom w:w="65" w:type="dxa"/>
              <w:end w:w="80" w:type="dxa"/>
            </w:tcMar>
            <w:shd w:fill="FFF4D6"/>
          </w:tcPr>
          <w:p>
            <w:pPr>
              <w:spacing w:after="0" w:before="0" w:line="240" w:lineRule="auto"/>
            </w:pPr>
            <w:r>
              <w:rPr>
                <w:color w:val="966500"/>
              </w:rPr>
            </w:r>
            <w:r>
              <w:rPr>
                <w:rFonts w:ascii="Liberation Sans" w:hAnsi="Liberation Sans"/>
                <w:b/>
                <w:color w:val="966500"/>
                <w:sz w:val="16"/>
              </w:rPr>
              <w:t>FOLLOW-UP</w:t>
            </w:r>
          </w:p>
        </w:tc>
        <w:tc>
          <w:tcPr>
            <w:tcW w:type="dxa" w:w="6192"/>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Five messages remained queued; diagnostics reported inbound email non-operational.</w:t>
            </w:r>
          </w:p>
        </w:tc>
      </w:tr>
      <w:tr>
        <w:trPr>
          <w:cantSplit/>
        </w:trPr>
        <w:tc>
          <w:tcPr>
            <w:tcW w:type="dxa" w:w="2448"/>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Data-integrity cleanup</w:t>
            </w:r>
          </w:p>
        </w:tc>
        <w:tc>
          <w:tcPr>
            <w:tcW w:type="dxa" w:w="1440"/>
            <w:vAlign w:val="center"/>
            <w:tcMar>
              <w:top w:w="65" w:type="dxa"/>
              <w:start w:w="80" w:type="dxa"/>
              <w:bottom w:w="65" w:type="dxa"/>
              <w:end w:w="80" w:type="dxa"/>
            </w:tcMar>
            <w:shd w:fill="FFF4D6"/>
          </w:tcPr>
          <w:p>
            <w:pPr>
              <w:spacing w:after="0" w:before="0" w:line="240" w:lineRule="auto"/>
            </w:pPr>
            <w:r>
              <w:rPr>
                <w:color w:val="966500"/>
              </w:rPr>
            </w:r>
            <w:r>
              <w:rPr>
                <w:rFonts w:ascii="Liberation Sans" w:hAnsi="Liberation Sans"/>
                <w:b/>
                <w:color w:val="966500"/>
                <w:sz w:val="16"/>
              </w:rPr>
              <w:t>FOLLOW-UP</w:t>
            </w:r>
          </w:p>
        </w:tc>
        <w:tc>
          <w:tcPr>
            <w:tcW w:type="dxa" w:w="6192"/>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One accidental blank task record remains for review.</w:t>
            </w:r>
          </w:p>
        </w:tc>
      </w:tr>
    </w:tbl>
    <w:p>
      <w:pPr>
        <w:spacing w:after="0" w:line="144" w:lineRule="auto"/>
      </w:pPr>
    </w:p>
    <w:p>
      <w:pPr>
        <w:pStyle w:val="Heading2"/>
        <w:keepNext/>
        <w:spacing w:after="80" w:before="100"/>
      </w:pPr>
      <w:r>
        <w:t>Solution overview</w:t>
      </w:r>
    </w:p>
    <w:p>
      <w:pPr>
        <w:spacing w:after="80" w:line="250" w:lineRule="auto"/>
      </w:pPr>
      <w:r>
        <w:rPr>
          <w:rFonts w:ascii="Liberation Sans" w:hAnsi="Liberation Sans"/>
          <w:color w:val="1F2D36"/>
          <w:sz w:val="17"/>
        </w:rPr>
        <w:t>The solution uses a Service Catalog item to capture network-service request details, creates standard Request (REQ) and Requested Item (RITM) records, routes the request through the existing approval path, and generates notifications as the lifecycle changes.</w:t>
      </w:r>
    </w:p>
    <w:p>
      <w:pPr>
        <w:pStyle w:val="Heading2"/>
        <w:keepNext/>
        <w:spacing w:after="80" w:before="100"/>
      </w:pPr>
      <w:r>
        <w:t>Observed request lifecycle</w:t>
      </w:r>
    </w:p>
    <w:tbl>
      <w:tblPr>
        <w:tblW w:type="auto" w:w="0"/>
        <w:jc w:val="center"/>
        <w:tblLayout w:type="fixed"/>
        <w:tblLook w:firstColumn="1" w:firstRow="1" w:lastColumn="0" w:lastRow="0" w:noHBand="0" w:noVBand="1" w:val="04A0"/>
        <w:tblBorders>
          <w:top w:val="single" w:sz="4" w:space="0" w:color="D6E1E6"/>
          <w:left w:val="single" w:sz="4" w:space="0" w:color="D6E1E6"/>
          <w:bottom w:val="single" w:sz="4" w:space="0" w:color="D6E1E6"/>
          <w:right w:val="single" w:sz="4" w:space="0" w:color="D6E1E6"/>
          <w:insideH w:val="single" w:sz="4" w:space="0" w:color="D6E1E6"/>
          <w:insideV w:val="single" w:sz="4" w:space="0" w:color="D6E1E6"/>
        </w:tblBorders>
      </w:tblPr>
      <w:tblGrid>
        <w:gridCol w:w="3427"/>
        <w:gridCol w:w="3427"/>
        <w:gridCol w:w="3427"/>
      </w:tblGrid>
      <w:tr>
        <w:trPr>
          <w:tblHeader w:val="true"/>
          <w:cantSplit/>
        </w:trPr>
        <w:tc>
          <w:tcPr>
            <w:tcW w:type="dxa" w:w="792"/>
            <w:vAlign w:val="center"/>
            <w:tcMar>
              <w:top w:w="65" w:type="dxa"/>
              <w:start w:w="80" w:type="dxa"/>
              <w:bottom w:w="65" w:type="dxa"/>
              <w:end w:w="80" w:type="dxa"/>
            </w:tcMar>
            <w:shd w:fill="123047"/>
          </w:tcPr>
          <w:p>
            <w:pPr>
              <w:spacing w:after="0" w:before="0" w:line="240" w:lineRule="auto"/>
            </w:pPr>
            <w:r/>
            <w:r>
              <w:rPr>
                <w:rFonts w:ascii="Liberation Sans" w:hAnsi="Liberation Sans"/>
                <w:b/>
                <w:color w:val="FFFFFF"/>
                <w:sz w:val="16"/>
              </w:rPr>
              <w:t>STEP</w:t>
            </w:r>
          </w:p>
        </w:tc>
        <w:tc>
          <w:tcPr>
            <w:tcW w:type="dxa" w:w="2160"/>
            <w:vAlign w:val="center"/>
            <w:tcMar>
              <w:top w:w="65" w:type="dxa"/>
              <w:start w:w="80" w:type="dxa"/>
              <w:bottom w:w="65" w:type="dxa"/>
              <w:end w:w="80" w:type="dxa"/>
            </w:tcMar>
            <w:shd w:fill="123047"/>
          </w:tcPr>
          <w:p>
            <w:pPr>
              <w:spacing w:after="0" w:before="0" w:line="240" w:lineRule="auto"/>
            </w:pPr>
            <w:r/>
            <w:r>
              <w:rPr>
                <w:rFonts w:ascii="Liberation Sans" w:hAnsi="Liberation Sans"/>
                <w:b/>
                <w:color w:val="FFFFFF"/>
                <w:sz w:val="16"/>
              </w:rPr>
              <w:t>PROCESS</w:t>
            </w:r>
          </w:p>
        </w:tc>
        <w:tc>
          <w:tcPr>
            <w:tcW w:type="dxa" w:w="7128"/>
            <w:vAlign w:val="center"/>
            <w:tcMar>
              <w:top w:w="65" w:type="dxa"/>
              <w:start w:w="80" w:type="dxa"/>
              <w:bottom w:w="65" w:type="dxa"/>
              <w:end w:w="80" w:type="dxa"/>
            </w:tcMar>
            <w:shd w:fill="123047"/>
          </w:tcPr>
          <w:p>
            <w:pPr>
              <w:spacing w:after="0" w:before="0" w:line="240" w:lineRule="auto"/>
            </w:pPr>
            <w:r/>
            <w:r>
              <w:rPr>
                <w:rFonts w:ascii="Liberation Sans" w:hAnsi="Liberation Sans"/>
                <w:b/>
                <w:color w:val="FFFFFF"/>
                <w:sz w:val="16"/>
              </w:rPr>
              <w:t>OBSERVED BEHAVIOR</w:t>
            </w:r>
          </w:p>
        </w:tc>
      </w:tr>
      <w:tr>
        <w:trPr>
          <w:cantSplit/>
        </w:trPr>
        <w:tc>
          <w:tcPr>
            <w:tcW w:type="dxa" w:w="792"/>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1</w:t>
            </w:r>
          </w:p>
        </w:tc>
        <w:tc>
          <w:tcPr>
            <w:tcW w:type="dxa" w:w="2160"/>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Submit catalog form</w:t>
            </w:r>
          </w:p>
        </w:tc>
        <w:tc>
          <w:tcPr>
            <w:tcW w:type="dxa" w:w="7128"/>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Requester provides the mandatory fields shown on the item.</w:t>
            </w:r>
          </w:p>
        </w:tc>
      </w:tr>
      <w:tr>
        <w:trPr>
          <w:cantSplit/>
        </w:trPr>
        <w:tc>
          <w:tcPr>
            <w:tcW w:type="dxa" w:w="792"/>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2</w:t>
            </w:r>
          </w:p>
        </w:tc>
        <w:tc>
          <w:tcPr>
            <w:tcW w:type="dxa" w:w="2160"/>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Create request records</w:t>
            </w:r>
          </w:p>
        </w:tc>
        <w:tc>
          <w:tcPr>
            <w:tcW w:type="dxa" w:w="7128"/>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ServiceNow creates a REQ record and a related RITM for Network Request.</w:t>
            </w:r>
          </w:p>
        </w:tc>
      </w:tr>
      <w:tr>
        <w:trPr>
          <w:cantSplit/>
        </w:trPr>
        <w:tc>
          <w:tcPr>
            <w:tcW w:type="dxa" w:w="792"/>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3</w:t>
            </w:r>
          </w:p>
        </w:tc>
        <w:tc>
          <w:tcPr>
            <w:tcW w:type="dxa" w:w="2160"/>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Approval decision</w:t>
            </w:r>
          </w:p>
        </w:tc>
        <w:tc>
          <w:tcPr>
            <w:tcW w:type="dxa" w:w="7128"/>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Existing flow supports approval and rejection; both were reported successful.</w:t>
            </w:r>
          </w:p>
        </w:tc>
      </w:tr>
      <w:tr>
        <w:trPr>
          <w:cantSplit/>
        </w:trPr>
        <w:tc>
          <w:tcPr>
            <w:tcW w:type="dxa" w:w="792"/>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4</w:t>
            </w:r>
          </w:p>
        </w:tc>
        <w:tc>
          <w:tcPr>
            <w:tcW w:type="dxa" w:w="2160"/>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Notify stakeholders</w:t>
            </w:r>
          </w:p>
        </w:tc>
        <w:tc>
          <w:tcPr>
            <w:tcW w:type="dxa" w:w="7128"/>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Notification records are generated and sent when SMTP is active.</w:t>
            </w:r>
          </w:p>
        </w:tc>
      </w:tr>
      <w:tr>
        <w:trPr>
          <w:cantSplit/>
        </w:trPr>
        <w:tc>
          <w:tcPr>
            <w:tcW w:type="dxa" w:w="792"/>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5</w:t>
            </w:r>
          </w:p>
        </w:tc>
        <w:tc>
          <w:tcPr>
            <w:tcW w:type="dxa" w:w="2160"/>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Track fulfillment</w:t>
            </w:r>
          </w:p>
        </w:tc>
        <w:tc>
          <w:tcPr>
            <w:tcW w:type="dxa" w:w="7128"/>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Requested Item stage/state track progress beyond approval.</w:t>
            </w:r>
          </w:p>
        </w:tc>
      </w:tr>
    </w:tbl>
    <w:p>
      <w:pPr>
        <w:spacing w:after="0" w:line="144" w:lineRule="auto"/>
      </w:pPr>
    </w:p>
    <w:tbl>
      <w:tblPr>
        <w:tblW w:type="auto" w:w="0"/>
        <w:jc w:val="center"/>
        <w:tblLayout w:type="fixed"/>
        <w:tblLook w:firstColumn="1" w:firstRow="1" w:lastColumn="0" w:lastRow="0" w:noHBand="0" w:noVBand="1" w:val="04A0"/>
        <w:tblBorders>
          <w:top w:val="single" w:sz="0" w:space="0" w:color="EAF4F5"/>
          <w:left w:val="single" w:sz="0" w:space="0" w:color="EAF4F5"/>
          <w:bottom w:val="single" w:sz="0" w:space="0" w:color="EAF4F5"/>
          <w:right w:val="single" w:sz="0" w:space="0" w:color="EAF4F5"/>
          <w:insideH w:val="single" w:sz="0" w:space="0" w:color="EAF4F5"/>
          <w:insideV w:val="single" w:sz="0" w:space="0" w:color="EAF4F5"/>
        </w:tblBorders>
      </w:tblPr>
      <w:tblGrid>
        <w:gridCol w:w="10080"/>
      </w:tblGrid>
      <w:tr>
        <w:tc>
          <w:tcPr>
            <w:tcW w:type="dxa" w:w="10282"/>
            <w:shd w:fill="EAF4F5"/>
            <w:tcMar>
              <w:top w:w="95" w:type="dxa"/>
              <w:start w:w="140" w:type="dxa"/>
              <w:bottom w:w="95" w:type="dxa"/>
              <w:end w:w="140" w:type="dxa"/>
            </w:tcMar>
          </w:tcPr>
          <w:p>
            <w:pPr>
              <w:spacing w:after="40"/>
            </w:pPr>
            <w:r/>
            <w:r>
              <w:rPr>
                <w:rFonts w:ascii="Liberation Sans" w:hAnsi="Liberation Sans"/>
                <w:b/>
                <w:color w:val="087E8B"/>
                <w:sz w:val="18"/>
              </w:rPr>
              <w:t>Scope note</w:t>
            </w:r>
          </w:p>
          <w:p>
            <w:pPr>
              <w:spacing w:after="0" w:line="240" w:lineRule="auto"/>
            </w:pPr>
            <w:r>
              <w:rPr>
                <w:rFonts w:ascii="Liberation Sans" w:hAnsi="Liberation Sans"/>
                <w:color w:val="1F2D36"/>
                <w:sz w:val="17"/>
              </w:rPr>
              <w:t>This handover documents the existing instance configuration. It does not claim that uninspected flow internals, table mappings, or every edge case have been independently audited.</w:t>
            </w:r>
          </w:p>
        </w:tc>
      </w:tr>
    </w:tbl>
    <w:p>
      <w:pPr>
        <w:spacing w:after="0"/>
      </w:pPr>
    </w:p>
    <w:p>
      <w:r>
        <w:br w:type="page"/>
      </w:r>
    </w:p>
    <w:p>
      <w:pPr>
        <w:pStyle w:val="Heading1"/>
        <w:keepNext/>
        <w:spacing w:after="80" w:before="100"/>
      </w:pPr>
      <w:r>
        <w:t>2. Catalog form and request data</w:t>
      </w:r>
    </w:p>
    <w:tbl>
      <w:tblPr>
        <w:tblW w:type="auto" w:w="0"/>
        <w:jc w:val="center"/>
        <w:tblLayout w:type="fixed"/>
        <w:tblLook w:firstColumn="1" w:firstRow="1" w:lastColumn="0" w:lastRow="0" w:noHBand="0" w:noVBand="1" w:val="04A0"/>
        <w:tblBorders>
          <w:top w:val="single" w:sz="4" w:space="0" w:color="D6E1E6"/>
          <w:left w:val="single" w:sz="4" w:space="0" w:color="D6E1E6"/>
          <w:bottom w:val="single" w:sz="4" w:space="0" w:color="D6E1E6"/>
          <w:right w:val="single" w:sz="4" w:space="0" w:color="D6E1E6"/>
          <w:insideH w:val="single" w:sz="4" w:space="0" w:color="D6E1E6"/>
          <w:insideV w:val="single" w:sz="4" w:space="0" w:color="D6E1E6"/>
        </w:tblBorders>
      </w:tblPr>
      <w:tblGrid>
        <w:gridCol w:w="3427"/>
        <w:gridCol w:w="3427"/>
        <w:gridCol w:w="3427"/>
      </w:tblGrid>
      <w:tr>
        <w:trPr>
          <w:tblHeader w:val="true"/>
          <w:cantSplit/>
        </w:trPr>
        <w:tc>
          <w:tcPr>
            <w:tcW w:type="dxa" w:w="2376"/>
            <w:vAlign w:val="center"/>
            <w:tcMar>
              <w:top w:w="65" w:type="dxa"/>
              <w:start w:w="80" w:type="dxa"/>
              <w:bottom w:w="65" w:type="dxa"/>
              <w:end w:w="80" w:type="dxa"/>
            </w:tcMar>
            <w:shd w:fill="123047"/>
          </w:tcPr>
          <w:p>
            <w:pPr>
              <w:spacing w:after="0" w:before="0" w:line="240" w:lineRule="auto"/>
            </w:pPr>
            <w:r/>
            <w:r>
              <w:rPr>
                <w:rFonts w:ascii="Liberation Sans" w:hAnsi="Liberation Sans"/>
                <w:b/>
                <w:color w:val="FFFFFF"/>
                <w:sz w:val="16"/>
              </w:rPr>
              <w:t>VARIABLE</w:t>
            </w:r>
          </w:p>
        </w:tc>
        <w:tc>
          <w:tcPr>
            <w:tcW w:type="dxa" w:w="2232"/>
            <w:vAlign w:val="center"/>
            <w:tcMar>
              <w:top w:w="65" w:type="dxa"/>
              <w:start w:w="80" w:type="dxa"/>
              <w:bottom w:w="65" w:type="dxa"/>
              <w:end w:w="80" w:type="dxa"/>
            </w:tcMar>
            <w:shd w:fill="123047"/>
          </w:tcPr>
          <w:p>
            <w:pPr>
              <w:spacing w:after="0" w:before="0" w:line="240" w:lineRule="auto"/>
            </w:pPr>
            <w:r/>
            <w:r>
              <w:rPr>
                <w:rFonts w:ascii="Liberation Sans" w:hAnsi="Liberation Sans"/>
                <w:b/>
                <w:color w:val="FFFFFF"/>
                <w:sz w:val="16"/>
              </w:rPr>
              <w:t>REQUIRED?</w:t>
            </w:r>
          </w:p>
        </w:tc>
        <w:tc>
          <w:tcPr>
            <w:tcW w:type="dxa" w:w="6192"/>
            <w:vAlign w:val="center"/>
            <w:tcMar>
              <w:top w:w="65" w:type="dxa"/>
              <w:start w:w="80" w:type="dxa"/>
              <w:bottom w:w="65" w:type="dxa"/>
              <w:end w:w="80" w:type="dxa"/>
            </w:tcMar>
            <w:shd w:fill="123047"/>
          </w:tcPr>
          <w:p>
            <w:pPr>
              <w:spacing w:after="0" w:before="0" w:line="240" w:lineRule="auto"/>
            </w:pPr>
            <w:r/>
            <w:r>
              <w:rPr>
                <w:rFonts w:ascii="Liberation Sans" w:hAnsi="Liberation Sans"/>
                <w:b/>
                <w:color w:val="FFFFFF"/>
                <w:sz w:val="16"/>
              </w:rPr>
              <w:t>OBSERVED NOTES</w:t>
            </w:r>
          </w:p>
        </w:tc>
      </w:tr>
      <w:tr>
        <w:trPr>
          <w:cantSplit/>
        </w:trPr>
        <w:tc>
          <w:tcPr>
            <w:tcW w:type="dxa" w:w="2376"/>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Requested For</w:t>
            </w:r>
          </w:p>
        </w:tc>
        <w:tc>
          <w:tcPr>
            <w:tcW w:type="dxa" w:w="2232"/>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Required</w:t>
            </w:r>
          </w:p>
        </w:tc>
        <w:tc>
          <w:tcPr>
            <w:tcW w:type="dxa" w:w="6192"/>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Text variable; test value entered as “QA testing #2”.</w:t>
            </w:r>
          </w:p>
        </w:tc>
      </w:tr>
      <w:tr>
        <w:trPr>
          <w:cantSplit/>
        </w:trPr>
        <w:tc>
          <w:tcPr>
            <w:tcW w:type="dxa" w:w="2376"/>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Opened on behalf of</w:t>
            </w:r>
          </w:p>
        </w:tc>
        <w:tc>
          <w:tcPr>
            <w:tcW w:type="dxa" w:w="2232"/>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Required</w:t>
            </w:r>
          </w:p>
        </w:tc>
        <w:tc>
          <w:tcPr>
            <w:tcW w:type="dxa" w:w="6192"/>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Reference field under Requester Information.</w:t>
            </w:r>
          </w:p>
        </w:tc>
      </w:tr>
      <w:tr>
        <w:trPr>
          <w:cantSplit/>
        </w:trPr>
        <w:tc>
          <w:tcPr>
            <w:tcW w:type="dxa" w:w="2376"/>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Mobile Number</w:t>
            </w:r>
          </w:p>
        </w:tc>
        <w:tc>
          <w:tcPr>
            <w:tcW w:type="dxa" w:w="2232"/>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Required</w:t>
            </w:r>
          </w:p>
        </w:tc>
        <w:tc>
          <w:tcPr>
            <w:tcW w:type="dxa" w:w="6192"/>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Required input on the order form.</w:t>
            </w:r>
          </w:p>
        </w:tc>
      </w:tr>
      <w:tr>
        <w:trPr>
          <w:cantSplit/>
        </w:trPr>
        <w:tc>
          <w:tcPr>
            <w:tcW w:type="dxa" w:w="2376"/>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Type of Connection</w:t>
            </w:r>
          </w:p>
        </w:tc>
        <w:tc>
          <w:tcPr>
            <w:tcW w:type="dxa" w:w="2232"/>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Required</w:t>
            </w:r>
          </w:p>
        </w:tc>
        <w:tc>
          <w:tcPr>
            <w:tcW w:type="dxa" w:w="6192"/>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Options shown: New / Existing.</w:t>
            </w:r>
          </w:p>
        </w:tc>
      </w:tr>
      <w:tr>
        <w:trPr>
          <w:cantSplit/>
        </w:trPr>
        <w:tc>
          <w:tcPr>
            <w:tcW w:type="dxa" w:w="2376"/>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Total Amount</w:t>
            </w:r>
          </w:p>
        </w:tc>
        <w:tc>
          <w:tcPr>
            <w:tcW w:type="dxa" w:w="2232"/>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No required marker seen</w:t>
            </w:r>
          </w:p>
        </w:tc>
        <w:tc>
          <w:tcPr>
            <w:tcW w:type="dxa" w:w="6192"/>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Visible on the form.</w:t>
            </w:r>
          </w:p>
        </w:tc>
      </w:tr>
      <w:tr>
        <w:trPr>
          <w:cantSplit/>
        </w:trPr>
        <w:tc>
          <w:tcPr>
            <w:tcW w:type="dxa" w:w="2376"/>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Mode of Payment</w:t>
            </w:r>
          </w:p>
        </w:tc>
        <w:tc>
          <w:tcPr>
            <w:tcW w:type="dxa" w:w="2232"/>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No required marker seen</w:t>
            </w:r>
          </w:p>
        </w:tc>
        <w:tc>
          <w:tcPr>
            <w:tcW w:type="dxa" w:w="6192"/>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Options shown: UPI / CARD; UPI was selected by default.</w:t>
            </w:r>
          </w:p>
        </w:tc>
      </w:tr>
      <w:tr>
        <w:trPr>
          <w:cantSplit/>
        </w:trPr>
        <w:tc>
          <w:tcPr>
            <w:tcW w:type="dxa" w:w="2376"/>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Address</w:t>
            </w:r>
          </w:p>
        </w:tc>
        <w:tc>
          <w:tcPr>
            <w:tcW w:type="dxa" w:w="2232"/>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No required marker seen</w:t>
            </w:r>
          </w:p>
        </w:tc>
        <w:tc>
          <w:tcPr>
            <w:tcW w:type="dxa" w:w="6192"/>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Visible on the form.</w:t>
            </w:r>
          </w:p>
        </w:tc>
      </w:tr>
    </w:tbl>
    <w:p>
      <w:pPr>
        <w:spacing w:after="0" w:line="144" w:lineRule="auto"/>
      </w:pPr>
    </w:p>
    <w:p>
      <w:pPr>
        <w:spacing w:after="80" w:line="250" w:lineRule="auto"/>
      </w:pPr>
      <w:r>
        <w:rPr>
          <w:rFonts w:ascii="Liberation Sans" w:hAnsi="Liberation Sans"/>
          <w:color w:val="1F2D36"/>
          <w:sz w:val="16"/>
        </w:rPr>
        <w:t>The catalog form also displayed derived requester information such as user name, email ID, and phone number. Those fields appeared read-only in the captured form.</w:t>
      </w:r>
    </w:p>
    <w:p>
      <w:pPr>
        <w:pStyle w:val="Heading1"/>
        <w:keepNext/>
        <w:spacing w:after="80" w:before="100"/>
      </w:pPr>
      <w:r>
        <w:t>3. Outbound email configuration</w:t>
      </w:r>
    </w:p>
    <w:tbl>
      <w:tblPr>
        <w:tblW w:type="auto" w:w="0"/>
        <w:jc w:val="center"/>
        <w:tblLayout w:type="fixed"/>
        <w:tblLook w:firstColumn="1" w:firstRow="1" w:lastColumn="0" w:lastRow="0" w:noHBand="0" w:noVBand="1" w:val="04A0"/>
        <w:tblBorders>
          <w:top w:val="single" w:sz="4" w:space="0" w:color="D6E1E6"/>
          <w:left w:val="single" w:sz="4" w:space="0" w:color="D6E1E6"/>
          <w:bottom w:val="single" w:sz="4" w:space="0" w:color="D6E1E6"/>
          <w:right w:val="single" w:sz="4" w:space="0" w:color="D6E1E6"/>
          <w:insideH w:val="single" w:sz="4" w:space="0" w:color="D6E1E6"/>
          <w:insideV w:val="single" w:sz="4" w:space="0" w:color="D6E1E6"/>
        </w:tblBorders>
      </w:tblPr>
      <w:tblGrid>
        <w:gridCol w:w="5141"/>
        <w:gridCol w:w="5141"/>
      </w:tblGrid>
      <w:tr>
        <w:trPr>
          <w:tblHeader w:val="true"/>
          <w:cantSplit/>
        </w:trPr>
        <w:tc>
          <w:tcPr>
            <w:tcW w:type="dxa" w:w="2232"/>
            <w:vAlign w:val="center"/>
            <w:tcMar>
              <w:top w:w="65" w:type="dxa"/>
              <w:start w:w="80" w:type="dxa"/>
              <w:bottom w:w="65" w:type="dxa"/>
              <w:end w:w="80" w:type="dxa"/>
            </w:tcMar>
            <w:shd w:fill="123047"/>
          </w:tcPr>
          <w:p>
            <w:pPr>
              <w:spacing w:after="0" w:before="0" w:line="240" w:lineRule="auto"/>
            </w:pPr>
            <w:r/>
            <w:r>
              <w:rPr>
                <w:rFonts w:ascii="Liberation Sans" w:hAnsi="Liberation Sans"/>
                <w:b/>
                <w:color w:val="FFFFFF"/>
                <w:sz w:val="16"/>
              </w:rPr>
              <w:t>SETTING</w:t>
            </w:r>
          </w:p>
        </w:tc>
        <w:tc>
          <w:tcPr>
            <w:tcW w:type="dxa" w:w="7848"/>
            <w:vAlign w:val="center"/>
            <w:tcMar>
              <w:top w:w="65" w:type="dxa"/>
              <w:start w:w="80" w:type="dxa"/>
              <w:bottom w:w="65" w:type="dxa"/>
              <w:end w:w="80" w:type="dxa"/>
            </w:tcMar>
            <w:shd w:fill="123047"/>
          </w:tcPr>
          <w:p>
            <w:pPr>
              <w:spacing w:after="0" w:before="0" w:line="240" w:lineRule="auto"/>
            </w:pPr>
            <w:r/>
            <w:r>
              <w:rPr>
                <w:rFonts w:ascii="Liberation Sans" w:hAnsi="Liberation Sans"/>
                <w:b/>
                <w:color w:val="FFFFFF"/>
                <w:sz w:val="16"/>
              </w:rPr>
              <w:t>RECORDED CONFIGURATION / OBSERVATION</w:t>
            </w:r>
          </w:p>
        </w:tc>
      </w:tr>
      <w:tr>
        <w:trPr>
          <w:cantSplit/>
        </w:trPr>
        <w:tc>
          <w:tcPr>
            <w:tcW w:type="dxa" w:w="2232"/>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PDI-level control</w:t>
            </w:r>
          </w:p>
        </w:tc>
        <w:tc>
          <w:tcPr>
            <w:tcW w:type="dxa" w:w="7848"/>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Enabled during troubleshooting.</w:t>
            </w:r>
          </w:p>
        </w:tc>
      </w:tr>
      <w:tr>
        <w:trPr>
          <w:cantSplit/>
        </w:trPr>
        <w:tc>
          <w:tcPr>
            <w:tcW w:type="dxa" w:w="2232"/>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Instance sending</w:t>
            </w:r>
          </w:p>
        </w:tc>
        <w:tc>
          <w:tcPr>
            <w:tcW w:type="dxa" w:w="7848"/>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Email Properties showed Email sending enabled.</w:t>
            </w:r>
          </w:p>
        </w:tc>
      </w:tr>
      <w:tr>
        <w:trPr>
          <w:cantSplit/>
        </w:trPr>
        <w:tc>
          <w:tcPr>
            <w:tcW w:type="dxa" w:w="2232"/>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Test routing</w:t>
            </w:r>
          </w:p>
        </w:tc>
        <w:tc>
          <w:tcPr>
            <w:tcW w:type="dxa" w:w="7848"/>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glide.email.test.user redirected outbound email to a disposable test inbox; the address is intentionally omitted.</w:t>
            </w:r>
          </w:p>
        </w:tc>
      </w:tr>
      <w:tr>
        <w:trPr>
          <w:cantSplit/>
        </w:trPr>
        <w:tc>
          <w:tcPr>
            <w:tcW w:type="dxa" w:w="2232"/>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SMTP account</w:t>
            </w:r>
          </w:p>
        </w:tc>
        <w:tc>
          <w:tcPr>
            <w:tcW w:type="dxa" w:w="7848"/>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Network Request Test SMTP; Gmail SMTP endpoint smtp.gmail.com; port 587; STARTTLS; authenticated with Google App Password.</w:t>
            </w:r>
          </w:p>
        </w:tc>
      </w:tr>
      <w:tr>
        <w:trPr>
          <w:cantSplit/>
        </w:trPr>
        <w:tc>
          <w:tcPr>
            <w:tcW w:type="dxa" w:w="2232"/>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Account state</w:t>
            </w:r>
          </w:p>
        </w:tc>
        <w:tc>
          <w:tcPr>
            <w:tcW w:type="dxa" w:w="7848"/>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Diagnostics initially showed Inactive. After activation, SMTP Sender State changed to Running.</w:t>
            </w:r>
          </w:p>
        </w:tc>
      </w:tr>
      <w:tr>
        <w:trPr>
          <w:cantSplit/>
        </w:trPr>
        <w:tc>
          <w:tcPr>
            <w:tcW w:type="dxa" w:w="2232"/>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Inbound email</w:t>
            </w:r>
          </w:p>
        </w:tc>
        <w:tc>
          <w:tcPr>
            <w:tcW w:type="dxa" w:w="7848"/>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Diagnostics later showed Email Receiving Enabled but Non-Operational and no received email. Inbound processing was not needed by the tested workflow.</w:t>
            </w:r>
          </w:p>
        </w:tc>
      </w:tr>
    </w:tbl>
    <w:p>
      <w:pPr>
        <w:spacing w:after="0" w:line="144" w:lineRule="auto"/>
      </w:pPr>
    </w:p>
    <w:tbl>
      <w:tblPr>
        <w:tblW w:type="auto" w:w="0"/>
        <w:jc w:val="center"/>
        <w:tblLayout w:type="fixed"/>
        <w:tblLook w:firstColumn="1" w:firstRow="1" w:lastColumn="0" w:lastRow="0" w:noHBand="0" w:noVBand="1" w:val="04A0"/>
        <w:tblBorders>
          <w:top w:val="single" w:sz="0" w:space="0" w:color="FFF4D6"/>
          <w:left w:val="single" w:sz="0" w:space="0" w:color="FFF4D6"/>
          <w:bottom w:val="single" w:sz="0" w:space="0" w:color="FFF4D6"/>
          <w:right w:val="single" w:sz="0" w:space="0" w:color="FFF4D6"/>
          <w:insideH w:val="single" w:sz="0" w:space="0" w:color="FFF4D6"/>
          <w:insideV w:val="single" w:sz="0" w:space="0" w:color="FFF4D6"/>
        </w:tblBorders>
      </w:tblPr>
      <w:tblGrid>
        <w:gridCol w:w="10080"/>
      </w:tblGrid>
      <w:tr>
        <w:tc>
          <w:tcPr>
            <w:tcW w:type="dxa" w:w="10282"/>
            <w:shd w:fill="FFF4D6"/>
            <w:tcMar>
              <w:top w:w="95" w:type="dxa"/>
              <w:start w:w="140" w:type="dxa"/>
              <w:bottom w:w="95" w:type="dxa"/>
              <w:end w:w="140" w:type="dxa"/>
            </w:tcMar>
          </w:tcPr>
          <w:p>
            <w:pPr>
              <w:spacing w:after="40"/>
            </w:pPr>
            <w:r/>
            <w:r>
              <w:rPr>
                <w:rFonts w:ascii="Liberation Sans" w:hAnsi="Liberation Sans"/>
                <w:b/>
                <w:color w:val="966500"/>
                <w:sz w:val="18"/>
              </w:rPr>
              <w:t>Credential handling</w:t>
            </w:r>
          </w:p>
          <w:p>
            <w:pPr>
              <w:spacing w:after="0" w:line="240" w:lineRule="auto"/>
            </w:pPr>
            <w:r>
              <w:rPr>
                <w:rFonts w:ascii="Liberation Sans" w:hAnsi="Liberation Sans"/>
                <w:color w:val="1F2D36"/>
                <w:sz w:val="17"/>
              </w:rPr>
              <w:t>The Google App Password is not included in this document. Keep it out of screenshots, source control, reports, and chat. Rotate/revoke it if it has been exposed outside the ServiceNow credential field.</w:t>
            </w:r>
          </w:p>
        </w:tc>
      </w:tr>
    </w:tbl>
    <w:p>
      <w:pPr>
        <w:spacing w:after="0"/>
      </w:pPr>
    </w:p>
    <w:p>
      <w:r>
        <w:br w:type="page"/>
      </w:r>
    </w:p>
    <w:p>
      <w:pPr>
        <w:pStyle w:val="Heading1"/>
        <w:keepNext/>
        <w:spacing w:after="80" w:before="100"/>
      </w:pPr>
      <w:r>
        <w:t>4. Phase 4 QA test results</w:t>
      </w:r>
    </w:p>
    <w:p>
      <w:pPr>
        <w:spacing w:after="80" w:line="250" w:lineRule="auto"/>
      </w:pPr>
      <w:r>
        <w:rPr>
          <w:rFonts w:ascii="Liberation Sans" w:hAnsi="Liberation Sans"/>
          <w:color w:val="1F2D36"/>
          <w:sz w:val="17"/>
        </w:rPr>
        <w:t>Outcomes are recorded from the observed screenshots and the user-confirmed test results. Items not fully verified are labelled as follow-up rather than passed.</w:t>
      </w:r>
    </w:p>
    <w:tbl>
      <w:tblPr>
        <w:tblW w:type="auto" w:w="0"/>
        <w:jc w:val="center"/>
        <w:tblLayout w:type="fixed"/>
        <w:tblLook w:firstColumn="1" w:firstRow="1" w:lastColumn="0" w:lastRow="0" w:noHBand="0" w:noVBand="1" w:val="04A0"/>
        <w:tblBorders>
          <w:top w:val="single" w:sz="4" w:space="0" w:color="D6E1E6"/>
          <w:left w:val="single" w:sz="4" w:space="0" w:color="D6E1E6"/>
          <w:bottom w:val="single" w:sz="4" w:space="0" w:color="D6E1E6"/>
          <w:right w:val="single" w:sz="4" w:space="0" w:color="D6E1E6"/>
          <w:insideH w:val="single" w:sz="4" w:space="0" w:color="D6E1E6"/>
          <w:insideV w:val="single" w:sz="4" w:space="0" w:color="D6E1E6"/>
        </w:tblBorders>
      </w:tblPr>
      <w:tblGrid>
        <w:gridCol w:w="2570"/>
        <w:gridCol w:w="2570"/>
        <w:gridCol w:w="2570"/>
        <w:gridCol w:w="2570"/>
      </w:tblGrid>
      <w:tr>
        <w:trPr>
          <w:tblHeader w:val="true"/>
          <w:cantSplit/>
        </w:trPr>
        <w:tc>
          <w:tcPr>
            <w:tcW w:type="dxa" w:w="792"/>
            <w:vAlign w:val="center"/>
            <w:tcMar>
              <w:top w:w="65" w:type="dxa"/>
              <w:start w:w="80" w:type="dxa"/>
              <w:bottom w:w="65" w:type="dxa"/>
              <w:end w:w="80" w:type="dxa"/>
            </w:tcMar>
            <w:shd w:fill="123047"/>
          </w:tcPr>
          <w:p>
            <w:pPr>
              <w:spacing w:after="0" w:before="0" w:line="240" w:lineRule="auto"/>
            </w:pPr>
            <w:r/>
            <w:r>
              <w:rPr>
                <w:rFonts w:ascii="Liberation Sans" w:hAnsi="Liberation Sans"/>
                <w:b/>
                <w:color w:val="FFFFFF"/>
                <w:sz w:val="16"/>
              </w:rPr>
              <w:t>ID</w:t>
            </w:r>
          </w:p>
        </w:tc>
        <w:tc>
          <w:tcPr>
            <w:tcW w:type="dxa" w:w="2160"/>
            <w:vAlign w:val="center"/>
            <w:tcMar>
              <w:top w:w="65" w:type="dxa"/>
              <w:start w:w="80" w:type="dxa"/>
              <w:bottom w:w="65" w:type="dxa"/>
              <w:end w:w="80" w:type="dxa"/>
            </w:tcMar>
            <w:shd w:fill="123047"/>
          </w:tcPr>
          <w:p>
            <w:pPr>
              <w:spacing w:after="0" w:before="0" w:line="240" w:lineRule="auto"/>
            </w:pPr>
            <w:r/>
            <w:r>
              <w:rPr>
                <w:rFonts w:ascii="Liberation Sans" w:hAnsi="Liberation Sans"/>
                <w:b/>
                <w:color w:val="FFFFFF"/>
                <w:sz w:val="16"/>
              </w:rPr>
              <w:t>TEST</w:t>
            </w:r>
          </w:p>
        </w:tc>
        <w:tc>
          <w:tcPr>
            <w:tcW w:type="dxa" w:w="5832"/>
            <w:vAlign w:val="center"/>
            <w:tcMar>
              <w:top w:w="65" w:type="dxa"/>
              <w:start w:w="80" w:type="dxa"/>
              <w:bottom w:w="65" w:type="dxa"/>
              <w:end w:w="80" w:type="dxa"/>
            </w:tcMar>
            <w:shd w:fill="123047"/>
          </w:tcPr>
          <w:p>
            <w:pPr>
              <w:spacing w:after="0" w:before="0" w:line="240" w:lineRule="auto"/>
            </w:pPr>
            <w:r/>
            <w:r>
              <w:rPr>
                <w:rFonts w:ascii="Liberation Sans" w:hAnsi="Liberation Sans"/>
                <w:b/>
                <w:color w:val="FFFFFF"/>
                <w:sz w:val="16"/>
              </w:rPr>
              <w:t>RESULT / EVIDENCE</w:t>
            </w:r>
          </w:p>
        </w:tc>
        <w:tc>
          <w:tcPr>
            <w:tcW w:type="dxa" w:w="1296"/>
            <w:vAlign w:val="center"/>
            <w:tcMar>
              <w:top w:w="65" w:type="dxa"/>
              <w:start w:w="80" w:type="dxa"/>
              <w:bottom w:w="65" w:type="dxa"/>
              <w:end w:w="80" w:type="dxa"/>
            </w:tcMar>
            <w:shd w:fill="123047"/>
          </w:tcPr>
          <w:p>
            <w:pPr>
              <w:spacing w:after="0" w:before="0" w:line="240" w:lineRule="auto"/>
            </w:pPr>
            <w:r/>
            <w:r>
              <w:rPr>
                <w:rFonts w:ascii="Liberation Sans" w:hAnsi="Liberation Sans"/>
                <w:b/>
                <w:color w:val="FFFFFF"/>
                <w:sz w:val="16"/>
              </w:rPr>
              <w:t>STATUS</w:t>
            </w:r>
          </w:p>
        </w:tc>
      </w:tr>
      <w:tr>
        <w:trPr>
          <w:cantSplit/>
        </w:trPr>
        <w:tc>
          <w:tcPr>
            <w:tcW w:type="dxa" w:w="792"/>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5"/>
              </w:rPr>
              <w:t>QA-01</w:t>
            </w:r>
          </w:p>
        </w:tc>
        <w:tc>
          <w:tcPr>
            <w:tcW w:type="dxa" w:w="2160"/>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5"/>
              </w:rPr>
              <w:t>Catalog item access</w:t>
            </w:r>
          </w:p>
        </w:tc>
        <w:tc>
          <w:tcPr>
            <w:tcW w:type="dxa" w:w="5832"/>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5"/>
              </w:rPr>
              <w:t>Network Request / Network Request Management order form opened.</w:t>
            </w:r>
          </w:p>
        </w:tc>
        <w:tc>
          <w:tcPr>
            <w:tcW w:type="dxa" w:w="1296"/>
            <w:vAlign w:val="center"/>
            <w:tcMar>
              <w:top w:w="65" w:type="dxa"/>
              <w:start w:w="80" w:type="dxa"/>
              <w:bottom w:w="65" w:type="dxa"/>
              <w:end w:w="80" w:type="dxa"/>
            </w:tcMar>
            <w:shd w:fill="EAF6EF"/>
          </w:tcPr>
          <w:p>
            <w:pPr>
              <w:spacing w:after="0" w:before="0" w:line="240" w:lineRule="auto"/>
            </w:pPr>
            <w:r>
              <w:rPr>
                <w:color w:val="237A4B"/>
              </w:rPr>
            </w:r>
            <w:r>
              <w:rPr>
                <w:rFonts w:ascii="Liberation Sans" w:hAnsi="Liberation Sans"/>
                <w:b/>
                <w:color w:val="237A4B"/>
                <w:sz w:val="15"/>
              </w:rPr>
              <w:t>PASS</w:t>
            </w:r>
          </w:p>
        </w:tc>
      </w:tr>
      <w:tr>
        <w:trPr>
          <w:cantSplit/>
        </w:trPr>
        <w:tc>
          <w:tcPr>
            <w:tcW w:type="dxa" w:w="792"/>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5"/>
              </w:rPr>
              <w:t>QA-02</w:t>
            </w:r>
          </w:p>
        </w:tc>
        <w:tc>
          <w:tcPr>
            <w:tcW w:type="dxa" w:w="2160"/>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5"/>
              </w:rPr>
              <w:t>Required-field validation</w:t>
            </w:r>
          </w:p>
        </w:tc>
        <w:tc>
          <w:tcPr>
            <w:tcW w:type="dxa" w:w="5832"/>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5"/>
              </w:rPr>
              <w:t>Order Now was blocked when required variables were left blank; required markers were visible.</w:t>
            </w:r>
          </w:p>
        </w:tc>
        <w:tc>
          <w:tcPr>
            <w:tcW w:type="dxa" w:w="1296"/>
            <w:vAlign w:val="center"/>
            <w:tcMar>
              <w:top w:w="65" w:type="dxa"/>
              <w:start w:w="80" w:type="dxa"/>
              <w:bottom w:w="65" w:type="dxa"/>
              <w:end w:w="80" w:type="dxa"/>
            </w:tcMar>
            <w:shd w:fill="EAF6EF"/>
          </w:tcPr>
          <w:p>
            <w:pPr>
              <w:spacing w:after="0" w:before="0" w:line="240" w:lineRule="auto"/>
            </w:pPr>
            <w:r>
              <w:rPr>
                <w:color w:val="237A4B"/>
              </w:rPr>
            </w:r>
            <w:r>
              <w:rPr>
                <w:rFonts w:ascii="Liberation Sans" w:hAnsi="Liberation Sans"/>
                <w:b/>
                <w:color w:val="237A4B"/>
                <w:sz w:val="15"/>
              </w:rPr>
              <w:t>PASS</w:t>
            </w:r>
          </w:p>
        </w:tc>
      </w:tr>
      <w:tr>
        <w:trPr>
          <w:cantSplit/>
        </w:trPr>
        <w:tc>
          <w:tcPr>
            <w:tcW w:type="dxa" w:w="792"/>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5"/>
              </w:rPr>
              <w:t>QA-03</w:t>
            </w:r>
          </w:p>
        </w:tc>
        <w:tc>
          <w:tcPr>
            <w:tcW w:type="dxa" w:w="2160"/>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5"/>
              </w:rPr>
              <w:t>Request creation and linkage</w:t>
            </w:r>
          </w:p>
        </w:tc>
        <w:tc>
          <w:tcPr>
            <w:tcW w:type="dxa" w:w="5832"/>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5"/>
              </w:rPr>
              <w:t>Examples include REQ0010001–REQ0010004; REQ0010004 links to RITM0010005.</w:t>
            </w:r>
          </w:p>
        </w:tc>
        <w:tc>
          <w:tcPr>
            <w:tcW w:type="dxa" w:w="1296"/>
            <w:vAlign w:val="center"/>
            <w:tcMar>
              <w:top w:w="65" w:type="dxa"/>
              <w:start w:w="80" w:type="dxa"/>
              <w:bottom w:w="65" w:type="dxa"/>
              <w:end w:w="80" w:type="dxa"/>
            </w:tcMar>
            <w:shd w:fill="EAF6EF"/>
          </w:tcPr>
          <w:p>
            <w:pPr>
              <w:spacing w:after="0" w:before="0" w:line="240" w:lineRule="auto"/>
            </w:pPr>
            <w:r>
              <w:rPr>
                <w:color w:val="237A4B"/>
              </w:rPr>
            </w:r>
            <w:r>
              <w:rPr>
                <w:rFonts w:ascii="Liberation Sans" w:hAnsi="Liberation Sans"/>
                <w:b/>
                <w:color w:val="237A4B"/>
                <w:sz w:val="15"/>
              </w:rPr>
              <w:t>PASS</w:t>
            </w:r>
          </w:p>
        </w:tc>
      </w:tr>
      <w:tr>
        <w:trPr>
          <w:cantSplit/>
        </w:trPr>
        <w:tc>
          <w:tcPr>
            <w:tcW w:type="dxa" w:w="792"/>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5"/>
              </w:rPr>
              <w:t>QA-04</w:t>
            </w:r>
          </w:p>
        </w:tc>
        <w:tc>
          <w:tcPr>
            <w:tcW w:type="dxa" w:w="2160"/>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5"/>
              </w:rPr>
              <w:t>Approval path</w:t>
            </w:r>
          </w:p>
        </w:tc>
        <w:tc>
          <w:tcPr>
            <w:tcW w:type="dxa" w:w="5832"/>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5"/>
              </w:rPr>
              <w:t>User confirmed successful approval; REQ0010004 shows Approval and Request state = Approved.</w:t>
            </w:r>
          </w:p>
        </w:tc>
        <w:tc>
          <w:tcPr>
            <w:tcW w:type="dxa" w:w="1296"/>
            <w:vAlign w:val="center"/>
            <w:tcMar>
              <w:top w:w="65" w:type="dxa"/>
              <w:start w:w="80" w:type="dxa"/>
              <w:bottom w:w="65" w:type="dxa"/>
              <w:end w:w="80" w:type="dxa"/>
            </w:tcMar>
            <w:shd w:fill="EAF6EF"/>
          </w:tcPr>
          <w:p>
            <w:pPr>
              <w:spacing w:after="0" w:before="0" w:line="240" w:lineRule="auto"/>
            </w:pPr>
            <w:r>
              <w:rPr>
                <w:color w:val="237A4B"/>
              </w:rPr>
            </w:r>
            <w:r>
              <w:rPr>
                <w:rFonts w:ascii="Liberation Sans" w:hAnsi="Liberation Sans"/>
                <w:b/>
                <w:color w:val="237A4B"/>
                <w:sz w:val="15"/>
              </w:rPr>
              <w:t>PASS</w:t>
            </w:r>
          </w:p>
        </w:tc>
      </w:tr>
      <w:tr>
        <w:trPr>
          <w:cantSplit/>
        </w:trPr>
        <w:tc>
          <w:tcPr>
            <w:tcW w:type="dxa" w:w="792"/>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5"/>
              </w:rPr>
              <w:t>QA-05</w:t>
            </w:r>
          </w:p>
        </w:tc>
        <w:tc>
          <w:tcPr>
            <w:tcW w:type="dxa" w:w="2160"/>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5"/>
              </w:rPr>
              <w:t>Rejection path</w:t>
            </w:r>
          </w:p>
        </w:tc>
        <w:tc>
          <w:tcPr>
            <w:tcW w:type="dxa" w:w="5832"/>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5"/>
              </w:rPr>
              <w:t>User confirmed rejection testing succeeded; the exact test record ID was not captured.</w:t>
            </w:r>
          </w:p>
        </w:tc>
        <w:tc>
          <w:tcPr>
            <w:tcW w:type="dxa" w:w="1296"/>
            <w:vAlign w:val="center"/>
            <w:tcMar>
              <w:top w:w="65" w:type="dxa"/>
              <w:start w:w="80" w:type="dxa"/>
              <w:bottom w:w="65" w:type="dxa"/>
              <w:end w:w="80" w:type="dxa"/>
            </w:tcMar>
            <w:shd w:fill="EAF6EF"/>
          </w:tcPr>
          <w:p>
            <w:pPr>
              <w:spacing w:after="0" w:before="0" w:line="240" w:lineRule="auto"/>
            </w:pPr>
            <w:r>
              <w:rPr>
                <w:color w:val="237A4B"/>
              </w:rPr>
            </w:r>
            <w:r>
              <w:rPr>
                <w:rFonts w:ascii="Liberation Sans" w:hAnsi="Liberation Sans"/>
                <w:b/>
                <w:color w:val="237A4B"/>
                <w:sz w:val="15"/>
              </w:rPr>
              <w:t>PASS (USER CONFIRMED)</w:t>
            </w:r>
          </w:p>
        </w:tc>
      </w:tr>
      <w:tr>
        <w:trPr>
          <w:cantSplit/>
        </w:trPr>
        <w:tc>
          <w:tcPr>
            <w:tcW w:type="dxa" w:w="792"/>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5"/>
              </w:rPr>
              <w:t>QA-06</w:t>
            </w:r>
          </w:p>
        </w:tc>
        <w:tc>
          <w:tcPr>
            <w:tcW w:type="dxa" w:w="2160"/>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5"/>
              </w:rPr>
              <w:t>Notification generation</w:t>
            </w:r>
          </w:p>
        </w:tc>
        <w:tc>
          <w:tcPr>
            <w:tcW w:type="dxa" w:w="5832"/>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5"/>
              </w:rPr>
              <w:t>Email record was send-ready with subject “Network Request Submitted - Awaiting Approval” and populated body.</w:t>
            </w:r>
          </w:p>
        </w:tc>
        <w:tc>
          <w:tcPr>
            <w:tcW w:type="dxa" w:w="1296"/>
            <w:vAlign w:val="center"/>
            <w:tcMar>
              <w:top w:w="65" w:type="dxa"/>
              <w:start w:w="80" w:type="dxa"/>
              <w:bottom w:w="65" w:type="dxa"/>
              <w:end w:w="80" w:type="dxa"/>
            </w:tcMar>
            <w:shd w:fill="EAF6EF"/>
          </w:tcPr>
          <w:p>
            <w:pPr>
              <w:spacing w:after="0" w:before="0" w:line="240" w:lineRule="auto"/>
            </w:pPr>
            <w:r>
              <w:rPr>
                <w:color w:val="237A4B"/>
              </w:rPr>
            </w:r>
            <w:r>
              <w:rPr>
                <w:rFonts w:ascii="Liberation Sans" w:hAnsi="Liberation Sans"/>
                <w:b/>
                <w:color w:val="237A4B"/>
                <w:sz w:val="15"/>
              </w:rPr>
              <w:t>PASS</w:t>
            </w:r>
          </w:p>
        </w:tc>
      </w:tr>
      <w:tr>
        <w:trPr>
          <w:cantSplit/>
        </w:trPr>
        <w:tc>
          <w:tcPr>
            <w:tcW w:type="dxa" w:w="792"/>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5"/>
              </w:rPr>
              <w:t>QA-07</w:t>
            </w:r>
          </w:p>
        </w:tc>
        <w:tc>
          <w:tcPr>
            <w:tcW w:type="dxa" w:w="2160"/>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5"/>
              </w:rPr>
              <w:t>SMTP authentication</w:t>
            </w:r>
          </w:p>
        </w:tc>
        <w:tc>
          <w:tcPr>
            <w:tcW w:type="dxa" w:w="5832"/>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5"/>
              </w:rPr>
              <w:t>Initial test returned 535-5.7.8. Removing spaces from the App Password made the connection test succeed.</w:t>
            </w:r>
          </w:p>
        </w:tc>
        <w:tc>
          <w:tcPr>
            <w:tcW w:type="dxa" w:w="1296"/>
            <w:vAlign w:val="center"/>
            <w:tcMar>
              <w:top w:w="65" w:type="dxa"/>
              <w:start w:w="80" w:type="dxa"/>
              <w:bottom w:w="65" w:type="dxa"/>
              <w:end w:w="80" w:type="dxa"/>
            </w:tcMar>
            <w:shd w:fill="EAF6EF"/>
          </w:tcPr>
          <w:p>
            <w:pPr>
              <w:spacing w:after="0" w:before="0" w:line="240" w:lineRule="auto"/>
            </w:pPr>
            <w:r>
              <w:rPr>
                <w:color w:val="237A4B"/>
              </w:rPr>
            </w:r>
            <w:r>
              <w:rPr>
                <w:rFonts w:ascii="Liberation Sans" w:hAnsi="Liberation Sans"/>
                <w:b/>
                <w:color w:val="237A4B"/>
                <w:sz w:val="15"/>
              </w:rPr>
              <w:t>PASS</w:t>
            </w:r>
          </w:p>
        </w:tc>
      </w:tr>
      <w:tr>
        <w:trPr>
          <w:cantSplit/>
        </w:trPr>
        <w:tc>
          <w:tcPr>
            <w:tcW w:type="dxa" w:w="792"/>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5"/>
              </w:rPr>
              <w:t>QA-08</w:t>
            </w:r>
          </w:p>
        </w:tc>
        <w:tc>
          <w:tcPr>
            <w:tcW w:type="dxa" w:w="2160"/>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5"/>
              </w:rPr>
              <w:t>Sender processing</w:t>
            </w:r>
          </w:p>
        </w:tc>
        <w:tc>
          <w:tcPr>
            <w:tcW w:type="dxa" w:w="5832"/>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5"/>
              </w:rPr>
              <w:t>SMTP Sender became Running; queue decreased from 20 to 5 and Last Sent Email received a timestamp.</w:t>
            </w:r>
          </w:p>
        </w:tc>
        <w:tc>
          <w:tcPr>
            <w:tcW w:type="dxa" w:w="1296"/>
            <w:vAlign w:val="center"/>
            <w:tcMar>
              <w:top w:w="65" w:type="dxa"/>
              <w:start w:w="80" w:type="dxa"/>
              <w:bottom w:w="65" w:type="dxa"/>
              <w:end w:w="80" w:type="dxa"/>
            </w:tcMar>
            <w:shd w:fill="EAF6EF"/>
          </w:tcPr>
          <w:p>
            <w:pPr>
              <w:spacing w:after="0" w:before="0" w:line="240" w:lineRule="auto"/>
            </w:pPr>
            <w:r>
              <w:rPr>
                <w:color w:val="237A4B"/>
              </w:rPr>
            </w:r>
            <w:r>
              <w:rPr>
                <w:rFonts w:ascii="Liberation Sans" w:hAnsi="Liberation Sans"/>
                <w:b/>
                <w:color w:val="237A4B"/>
                <w:sz w:val="15"/>
              </w:rPr>
              <w:t>PASS</w:t>
            </w:r>
          </w:p>
        </w:tc>
      </w:tr>
      <w:tr>
        <w:trPr>
          <w:cantSplit/>
        </w:trPr>
        <w:tc>
          <w:tcPr>
            <w:tcW w:type="dxa" w:w="792"/>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5"/>
              </w:rPr>
              <w:t>QA-09</w:t>
            </w:r>
          </w:p>
        </w:tc>
        <w:tc>
          <w:tcPr>
            <w:tcW w:type="dxa" w:w="2160"/>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5"/>
              </w:rPr>
              <w:t>End-to-end delivery</w:t>
            </w:r>
          </w:p>
        </w:tc>
        <w:tc>
          <w:tcPr>
            <w:tcW w:type="dxa" w:w="5832"/>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5"/>
              </w:rPr>
              <w:t>Test inbox showed request-created/approved and awaiting-approval notifications, including examples for REQ0010001–REQ0010003.</w:t>
            </w:r>
          </w:p>
        </w:tc>
        <w:tc>
          <w:tcPr>
            <w:tcW w:type="dxa" w:w="1296"/>
            <w:vAlign w:val="center"/>
            <w:tcMar>
              <w:top w:w="65" w:type="dxa"/>
              <w:start w:w="80" w:type="dxa"/>
              <w:bottom w:w="65" w:type="dxa"/>
              <w:end w:w="80" w:type="dxa"/>
            </w:tcMar>
            <w:shd w:fill="EAF6EF"/>
          </w:tcPr>
          <w:p>
            <w:pPr>
              <w:spacing w:after="0" w:before="0" w:line="240" w:lineRule="auto"/>
            </w:pPr>
            <w:r>
              <w:rPr>
                <w:color w:val="237A4B"/>
              </w:rPr>
            </w:r>
            <w:r>
              <w:rPr>
                <w:rFonts w:ascii="Liberation Sans" w:hAnsi="Liberation Sans"/>
                <w:b/>
                <w:color w:val="237A4B"/>
                <w:sz w:val="15"/>
              </w:rPr>
              <w:t>PASS</w:t>
            </w:r>
          </w:p>
        </w:tc>
      </w:tr>
      <w:tr>
        <w:trPr>
          <w:cantSplit/>
        </w:trPr>
        <w:tc>
          <w:tcPr>
            <w:tcW w:type="dxa" w:w="792"/>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5"/>
              </w:rPr>
              <w:t>QA-10</w:t>
            </w:r>
          </w:p>
        </w:tc>
        <w:tc>
          <w:tcPr>
            <w:tcW w:type="dxa" w:w="2160"/>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5"/>
              </w:rPr>
              <w:t>Entire queue drained</w:t>
            </w:r>
          </w:p>
        </w:tc>
        <w:tc>
          <w:tcPr>
            <w:tcW w:type="dxa" w:w="5832"/>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5"/>
              </w:rPr>
              <w:t>Five messages remained queued on the last reported refresh; their state/reason was not inspected.</w:t>
            </w:r>
          </w:p>
        </w:tc>
        <w:tc>
          <w:tcPr>
            <w:tcW w:type="dxa" w:w="1296"/>
            <w:vAlign w:val="center"/>
            <w:tcMar>
              <w:top w:w="65" w:type="dxa"/>
              <w:start w:w="80" w:type="dxa"/>
              <w:bottom w:w="65" w:type="dxa"/>
              <w:end w:w="80" w:type="dxa"/>
            </w:tcMar>
            <w:shd w:fill="FFF4D6"/>
          </w:tcPr>
          <w:p>
            <w:pPr>
              <w:spacing w:after="0" w:before="0" w:line="240" w:lineRule="auto"/>
            </w:pPr>
            <w:r>
              <w:rPr>
                <w:color w:val="966500"/>
              </w:rPr>
            </w:r>
            <w:r>
              <w:rPr>
                <w:rFonts w:ascii="Liberation Sans" w:hAnsi="Liberation Sans"/>
                <w:b/>
                <w:color w:val="966500"/>
                <w:sz w:val="15"/>
              </w:rPr>
              <w:t>FOLLOW-UP</w:t>
            </w:r>
          </w:p>
        </w:tc>
      </w:tr>
      <w:tr>
        <w:trPr>
          <w:cantSplit/>
        </w:trPr>
        <w:tc>
          <w:tcPr>
            <w:tcW w:type="dxa" w:w="792"/>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5"/>
              </w:rPr>
              <w:t>QA-11</w:t>
            </w:r>
          </w:p>
        </w:tc>
        <w:tc>
          <w:tcPr>
            <w:tcW w:type="dxa" w:w="2160"/>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5"/>
              </w:rPr>
              <w:t>Inbound email</w:t>
            </w:r>
          </w:p>
        </w:tc>
        <w:tc>
          <w:tcPr>
            <w:tcW w:type="dxa" w:w="5832"/>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5"/>
              </w:rPr>
              <w:t>Diagnostics showed Email Receiving Non-Operational and no received email. This was not a workflow requirement.</w:t>
            </w:r>
          </w:p>
        </w:tc>
        <w:tc>
          <w:tcPr>
            <w:tcW w:type="dxa" w:w="1296"/>
            <w:vAlign w:val="center"/>
            <w:tcMar>
              <w:top w:w="65" w:type="dxa"/>
              <w:start w:w="80" w:type="dxa"/>
              <w:bottom w:w="65" w:type="dxa"/>
              <w:end w:w="80" w:type="dxa"/>
            </w:tcMar>
            <w:shd w:fill="FFF4D6"/>
          </w:tcPr>
          <w:p>
            <w:pPr>
              <w:spacing w:after="0" w:before="0" w:line="240" w:lineRule="auto"/>
            </w:pPr>
            <w:r>
              <w:rPr>
                <w:color w:val="966500"/>
              </w:rPr>
            </w:r>
            <w:r>
              <w:rPr>
                <w:rFonts w:ascii="Liberation Sans" w:hAnsi="Liberation Sans"/>
                <w:b/>
                <w:color w:val="966500"/>
                <w:sz w:val="15"/>
              </w:rPr>
              <w:t>OUT OF SCOPE</w:t>
            </w:r>
          </w:p>
        </w:tc>
      </w:tr>
    </w:tbl>
    <w:p>
      <w:pPr>
        <w:spacing w:after="0" w:line="144" w:lineRule="auto"/>
      </w:pPr>
    </w:p>
    <w:p>
      <w:pPr>
        <w:pStyle w:val="Heading2"/>
        <w:keepNext/>
        <w:spacing w:after="80" w:before="100"/>
      </w:pPr>
      <w:r>
        <w:t>QA assessment</w:t>
      </w:r>
    </w:p>
    <w:p>
      <w:pPr>
        <w:spacing w:after="80" w:line="250" w:lineRule="auto"/>
      </w:pPr>
      <w:r>
        <w:rPr>
          <w:rFonts w:ascii="Liberation Sans" w:hAnsi="Liberation Sans"/>
          <w:color w:val="1F2D36"/>
          <w:sz w:val="17"/>
        </w:rPr>
        <w:t>The core tested workflow is supported by evidence: mandatory-variable validation prevents incomplete catalog orders; approval and rejection both succeeded in user testing; notification content was generated; SMTP authentication and account activation restored sender processing; and outbound notifications arrived in the redirected test inbox.</w:t>
      </w:r>
    </w:p>
    <w:tbl>
      <w:tblPr>
        <w:tblW w:type="auto" w:w="0"/>
        <w:jc w:val="center"/>
        <w:tblLayout w:type="fixed"/>
        <w:tblLook w:firstColumn="1" w:firstRow="1" w:lastColumn="0" w:lastRow="0" w:noHBand="0" w:noVBand="1" w:val="04A0"/>
        <w:tblBorders>
          <w:top w:val="single" w:sz="0" w:space="0" w:color="FFF4D6"/>
          <w:left w:val="single" w:sz="0" w:space="0" w:color="FFF4D6"/>
          <w:bottom w:val="single" w:sz="0" w:space="0" w:color="FFF4D6"/>
          <w:right w:val="single" w:sz="0" w:space="0" w:color="FFF4D6"/>
          <w:insideH w:val="single" w:sz="0" w:space="0" w:color="FFF4D6"/>
          <w:insideV w:val="single" w:sz="0" w:space="0" w:color="FFF4D6"/>
        </w:tblBorders>
      </w:tblPr>
      <w:tblGrid>
        <w:gridCol w:w="10080"/>
      </w:tblGrid>
      <w:tr>
        <w:tc>
          <w:tcPr>
            <w:tcW w:type="dxa" w:w="10282"/>
            <w:shd w:fill="FFF4D6"/>
            <w:tcMar>
              <w:top w:w="95" w:type="dxa"/>
              <w:start w:w="140" w:type="dxa"/>
              <w:bottom w:w="95" w:type="dxa"/>
              <w:end w:w="140" w:type="dxa"/>
            </w:tcMar>
          </w:tcPr>
          <w:p>
            <w:pPr>
              <w:spacing w:after="40"/>
            </w:pPr>
            <w:r/>
            <w:r>
              <w:rPr>
                <w:rFonts w:ascii="Liberation Sans" w:hAnsi="Liberation Sans"/>
                <w:b/>
                <w:color w:val="966500"/>
                <w:sz w:val="18"/>
              </w:rPr>
              <w:t>Do not infer</w:t>
            </w:r>
          </w:p>
          <w:p>
            <w:pPr>
              <w:spacing w:after="0" w:line="240" w:lineRule="auto"/>
            </w:pPr>
            <w:r>
              <w:rPr>
                <w:rFonts w:ascii="Liberation Sans" w:hAnsi="Liberation Sans"/>
                <w:color w:val="1F2D36"/>
                <w:sz w:val="17"/>
              </w:rPr>
              <w:t>A sender marked Running and a decreasing queue demonstrate processing, while the inbox screenshot demonstrates delivery for the messages shown. They do not prove that every one of the remaining five queued messages was sent.</w:t>
            </w:r>
          </w:p>
        </w:tc>
      </w:tr>
    </w:tbl>
    <w:p>
      <w:pPr>
        <w:spacing w:after="0"/>
      </w:pPr>
    </w:p>
    <w:p>
      <w:r>
        <w:br w:type="page"/>
      </w:r>
    </w:p>
    <w:p>
      <w:pPr>
        <w:pStyle w:val="Heading1"/>
        <w:keepNext/>
        <w:spacing w:after="80" w:before="100"/>
      </w:pPr>
      <w:r>
        <w:t>5. Data-integrity review</w:t>
      </w:r>
    </w:p>
    <w:tbl>
      <w:tblPr>
        <w:tblW w:type="auto" w:w="0"/>
        <w:jc w:val="center"/>
        <w:tblLayout w:type="fixed"/>
        <w:tblLook w:firstColumn="1" w:firstRow="1" w:lastColumn="0" w:lastRow="0" w:noHBand="0" w:noVBand="1" w:val="04A0"/>
        <w:tblBorders>
          <w:top w:val="single" w:sz="4" w:space="0" w:color="D6E1E6"/>
          <w:left w:val="single" w:sz="4" w:space="0" w:color="D6E1E6"/>
          <w:bottom w:val="single" w:sz="4" w:space="0" w:color="D6E1E6"/>
          <w:right w:val="single" w:sz="4" w:space="0" w:color="D6E1E6"/>
          <w:insideH w:val="single" w:sz="4" w:space="0" w:color="D6E1E6"/>
          <w:insideV w:val="single" w:sz="4" w:space="0" w:color="D6E1E6"/>
        </w:tblBorders>
      </w:tblPr>
      <w:tblGrid>
        <w:gridCol w:w="2570"/>
        <w:gridCol w:w="2570"/>
        <w:gridCol w:w="2570"/>
        <w:gridCol w:w="2570"/>
      </w:tblGrid>
      <w:tr>
        <w:trPr>
          <w:tblHeader w:val="true"/>
          <w:cantSplit/>
        </w:trPr>
        <w:tc>
          <w:tcPr>
            <w:tcW w:type="dxa" w:w="1728"/>
            <w:vAlign w:val="center"/>
            <w:tcMar>
              <w:top w:w="65" w:type="dxa"/>
              <w:start w:w="80" w:type="dxa"/>
              <w:bottom w:w="65" w:type="dxa"/>
              <w:end w:w="80" w:type="dxa"/>
            </w:tcMar>
            <w:shd w:fill="123047"/>
          </w:tcPr>
          <w:p>
            <w:pPr>
              <w:spacing w:after="0" w:before="0" w:line="240" w:lineRule="auto"/>
            </w:pPr>
            <w:r/>
            <w:r>
              <w:rPr>
                <w:rFonts w:ascii="Liberation Sans" w:hAnsi="Liberation Sans"/>
                <w:b/>
                <w:color w:val="FFFFFF"/>
                <w:sz w:val="16"/>
              </w:rPr>
              <w:t>AREA</w:t>
            </w:r>
          </w:p>
        </w:tc>
        <w:tc>
          <w:tcPr>
            <w:tcW w:type="dxa" w:w="1656"/>
            <w:vAlign w:val="center"/>
            <w:tcMar>
              <w:top w:w="65" w:type="dxa"/>
              <w:start w:w="80" w:type="dxa"/>
              <w:bottom w:w="65" w:type="dxa"/>
              <w:end w:w="80" w:type="dxa"/>
            </w:tcMar>
            <w:shd w:fill="123047"/>
          </w:tcPr>
          <w:p>
            <w:pPr>
              <w:spacing w:after="0" w:before="0" w:line="240" w:lineRule="auto"/>
            </w:pPr>
            <w:r/>
            <w:r>
              <w:rPr>
                <w:rFonts w:ascii="Liberation Sans" w:hAnsi="Liberation Sans"/>
                <w:b/>
                <w:color w:val="FFFFFF"/>
                <w:sz w:val="16"/>
              </w:rPr>
              <w:t>RECORD</w:t>
            </w:r>
          </w:p>
        </w:tc>
        <w:tc>
          <w:tcPr>
            <w:tcW w:type="dxa" w:w="5400"/>
            <w:vAlign w:val="center"/>
            <w:tcMar>
              <w:top w:w="65" w:type="dxa"/>
              <w:start w:w="80" w:type="dxa"/>
              <w:bottom w:w="65" w:type="dxa"/>
              <w:end w:w="80" w:type="dxa"/>
            </w:tcMar>
            <w:shd w:fill="123047"/>
          </w:tcPr>
          <w:p>
            <w:pPr>
              <w:spacing w:after="0" w:before="0" w:line="240" w:lineRule="auto"/>
            </w:pPr>
            <w:r/>
            <w:r>
              <w:rPr>
                <w:rFonts w:ascii="Liberation Sans" w:hAnsi="Liberation Sans"/>
                <w:b/>
                <w:color w:val="FFFFFF"/>
                <w:sz w:val="16"/>
              </w:rPr>
              <w:t>OBSERVED RESULT</w:t>
            </w:r>
          </w:p>
        </w:tc>
        <w:tc>
          <w:tcPr>
            <w:tcW w:type="dxa" w:w="1296"/>
            <w:vAlign w:val="center"/>
            <w:tcMar>
              <w:top w:w="65" w:type="dxa"/>
              <w:start w:w="80" w:type="dxa"/>
              <w:bottom w:w="65" w:type="dxa"/>
              <w:end w:w="80" w:type="dxa"/>
            </w:tcMar>
            <w:shd w:fill="123047"/>
          </w:tcPr>
          <w:p>
            <w:pPr>
              <w:spacing w:after="0" w:before="0" w:line="240" w:lineRule="auto"/>
            </w:pPr>
            <w:r/>
            <w:r>
              <w:rPr>
                <w:rFonts w:ascii="Liberation Sans" w:hAnsi="Liberation Sans"/>
                <w:b/>
                <w:color w:val="FFFFFF"/>
                <w:sz w:val="16"/>
              </w:rPr>
              <w:t>ASSESSMENT</w:t>
            </w:r>
          </w:p>
        </w:tc>
      </w:tr>
      <w:tr>
        <w:trPr>
          <w:cantSplit/>
        </w:trPr>
        <w:tc>
          <w:tcPr>
            <w:tcW w:type="dxa" w:w="1728"/>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5"/>
              </w:rPr>
              <w:t>Parent Request</w:t>
            </w:r>
          </w:p>
        </w:tc>
        <w:tc>
          <w:tcPr>
            <w:tcW w:type="dxa" w:w="1656"/>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5"/>
              </w:rPr>
              <w:t>REQ0010004</w:t>
            </w:r>
          </w:p>
        </w:tc>
        <w:tc>
          <w:tcPr>
            <w:tcW w:type="dxa" w:w="5400"/>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5"/>
              </w:rPr>
              <w:t>Request state = Approved; Approval = Approved.</w:t>
            </w:r>
          </w:p>
        </w:tc>
        <w:tc>
          <w:tcPr>
            <w:tcW w:type="dxa" w:w="1296"/>
            <w:vAlign w:val="center"/>
            <w:tcMar>
              <w:top w:w="65" w:type="dxa"/>
              <w:start w:w="80" w:type="dxa"/>
              <w:bottom w:w="65" w:type="dxa"/>
              <w:end w:w="80" w:type="dxa"/>
            </w:tcMar>
            <w:shd w:fill="EAF6EF"/>
          </w:tcPr>
          <w:p>
            <w:pPr>
              <w:spacing w:after="0" w:before="0" w:line="240" w:lineRule="auto"/>
            </w:pPr>
            <w:r>
              <w:rPr>
                <w:color w:val="237A4B"/>
              </w:rPr>
            </w:r>
            <w:r>
              <w:rPr>
                <w:rFonts w:ascii="Liberation Sans" w:hAnsi="Liberation Sans"/>
                <w:b/>
                <w:color w:val="237A4B"/>
                <w:sz w:val="15"/>
              </w:rPr>
              <w:t>PASS</w:t>
            </w:r>
          </w:p>
        </w:tc>
      </w:tr>
      <w:tr>
        <w:trPr>
          <w:cantSplit/>
        </w:trPr>
        <w:tc>
          <w:tcPr>
            <w:tcW w:type="dxa" w:w="1728"/>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5"/>
              </w:rPr>
              <w:t>Requested Item</w:t>
            </w:r>
          </w:p>
        </w:tc>
        <w:tc>
          <w:tcPr>
            <w:tcW w:type="dxa" w:w="1656"/>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5"/>
              </w:rPr>
              <w:t>RITM0010005</w:t>
            </w:r>
          </w:p>
        </w:tc>
        <w:tc>
          <w:tcPr>
            <w:tcW w:type="dxa" w:w="5400"/>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5"/>
              </w:rPr>
              <w:t>Item = Network Request; Request reference = REQ0010004; Quantity = 1.</w:t>
            </w:r>
          </w:p>
        </w:tc>
        <w:tc>
          <w:tcPr>
            <w:tcW w:type="dxa" w:w="1296"/>
            <w:vAlign w:val="center"/>
            <w:tcMar>
              <w:top w:w="65" w:type="dxa"/>
              <w:start w:w="80" w:type="dxa"/>
              <w:bottom w:w="65" w:type="dxa"/>
              <w:end w:w="80" w:type="dxa"/>
            </w:tcMar>
            <w:shd w:fill="EAF6EF"/>
          </w:tcPr>
          <w:p>
            <w:pPr>
              <w:spacing w:after="0" w:before="0" w:line="240" w:lineRule="auto"/>
            </w:pPr>
            <w:r>
              <w:rPr>
                <w:color w:val="237A4B"/>
              </w:rPr>
            </w:r>
            <w:r>
              <w:rPr>
                <w:rFonts w:ascii="Liberation Sans" w:hAnsi="Liberation Sans"/>
                <w:b/>
                <w:color w:val="237A4B"/>
                <w:sz w:val="15"/>
              </w:rPr>
              <w:t>PASS</w:t>
            </w:r>
          </w:p>
        </w:tc>
      </w:tr>
      <w:tr>
        <w:trPr>
          <w:cantSplit/>
        </w:trPr>
        <w:tc>
          <w:tcPr>
            <w:tcW w:type="dxa" w:w="1728"/>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5"/>
              </w:rPr>
              <w:t>Stage and state</w:t>
            </w:r>
          </w:p>
        </w:tc>
        <w:tc>
          <w:tcPr>
            <w:tcW w:type="dxa" w:w="1656"/>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5"/>
              </w:rPr>
              <w:t>RITM0010005</w:t>
            </w:r>
          </w:p>
        </w:tc>
        <w:tc>
          <w:tcPr>
            <w:tcW w:type="dxa" w:w="5400"/>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5"/>
              </w:rPr>
              <w:t>Stage = Request Approved; State = Open. Approval may be complete while fulfillment remains open.</w:t>
            </w:r>
          </w:p>
        </w:tc>
        <w:tc>
          <w:tcPr>
            <w:tcW w:type="dxa" w:w="1296"/>
            <w:vAlign w:val="center"/>
            <w:tcMar>
              <w:top w:w="65" w:type="dxa"/>
              <w:start w:w="80" w:type="dxa"/>
              <w:bottom w:w="65" w:type="dxa"/>
              <w:end w:w="80" w:type="dxa"/>
            </w:tcMar>
            <w:shd w:fill="FFF4D6"/>
          </w:tcPr>
          <w:p>
            <w:pPr>
              <w:spacing w:after="0" w:before="0" w:line="240" w:lineRule="auto"/>
            </w:pPr>
            <w:r>
              <w:rPr>
                <w:color w:val="966500"/>
              </w:rPr>
            </w:r>
            <w:r>
              <w:rPr>
                <w:rFonts w:ascii="Liberation Sans" w:hAnsi="Liberation Sans"/>
                <w:b/>
                <w:color w:val="966500"/>
                <w:sz w:val="15"/>
              </w:rPr>
              <w:t>CONSISTENT / MONITOR</w:t>
            </w:r>
          </w:p>
        </w:tc>
      </w:tr>
      <w:tr>
        <w:trPr>
          <w:cantSplit/>
        </w:trPr>
        <w:tc>
          <w:tcPr>
            <w:tcW w:type="dxa" w:w="1728"/>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5"/>
              </w:rPr>
              <w:t>Requester variable</w:t>
            </w:r>
          </w:p>
        </w:tc>
        <w:tc>
          <w:tcPr>
            <w:tcW w:type="dxa" w:w="1656"/>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5"/>
              </w:rPr>
              <w:t>RITM0010005</w:t>
            </w:r>
          </w:p>
        </w:tc>
        <w:tc>
          <w:tcPr>
            <w:tcW w:type="dxa" w:w="5400"/>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5"/>
              </w:rPr>
              <w:t>Catalog variable Requested For = “QA testing #2”, intentionally entered by the user.</w:t>
            </w:r>
          </w:p>
        </w:tc>
        <w:tc>
          <w:tcPr>
            <w:tcW w:type="dxa" w:w="1296"/>
            <w:vAlign w:val="center"/>
            <w:tcMar>
              <w:top w:w="65" w:type="dxa"/>
              <w:start w:w="80" w:type="dxa"/>
              <w:bottom w:w="65" w:type="dxa"/>
              <w:end w:w="80" w:type="dxa"/>
            </w:tcMar>
            <w:shd w:fill="FFF4D6"/>
          </w:tcPr>
          <w:p>
            <w:pPr>
              <w:spacing w:after="0" w:before="0" w:line="240" w:lineRule="auto"/>
            </w:pPr>
            <w:r>
              <w:rPr>
                <w:color w:val="966500"/>
              </w:rPr>
            </w:r>
            <w:r>
              <w:rPr>
                <w:rFonts w:ascii="Liberation Sans" w:hAnsi="Liberation Sans"/>
                <w:b/>
                <w:color w:val="966500"/>
                <w:sz w:val="15"/>
              </w:rPr>
              <w:t>INTENTIONAL TEST VALUE</w:t>
            </w:r>
          </w:p>
        </w:tc>
      </w:tr>
      <w:tr>
        <w:trPr>
          <w:cantSplit/>
        </w:trPr>
        <w:tc>
          <w:tcPr>
            <w:tcW w:type="dxa" w:w="1728"/>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5"/>
              </w:rPr>
              <w:t>Parent approval tabs</w:t>
            </w:r>
          </w:p>
        </w:tc>
        <w:tc>
          <w:tcPr>
            <w:tcW w:type="dxa" w:w="1656"/>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5"/>
              </w:rPr>
              <w:t>REQ0010004</w:t>
            </w:r>
          </w:p>
        </w:tc>
        <w:tc>
          <w:tcPr>
            <w:tcW w:type="dxa" w:w="5400"/>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5"/>
              </w:rPr>
              <w:t>Approvers and Group approvals tabs appeared empty on the parent Request.</w:t>
            </w:r>
          </w:p>
        </w:tc>
        <w:tc>
          <w:tcPr>
            <w:tcW w:type="dxa" w:w="1296"/>
            <w:vAlign w:val="center"/>
            <w:tcMar>
              <w:top w:w="65" w:type="dxa"/>
              <w:start w:w="80" w:type="dxa"/>
              <w:bottom w:w="65" w:type="dxa"/>
              <w:end w:w="80" w:type="dxa"/>
            </w:tcMar>
            <w:shd w:fill="FFF4D6"/>
          </w:tcPr>
          <w:p>
            <w:pPr>
              <w:spacing w:after="0" w:before="0" w:line="240" w:lineRule="auto"/>
            </w:pPr>
            <w:r>
              <w:rPr>
                <w:color w:val="966500"/>
              </w:rPr>
            </w:r>
            <w:r>
              <w:rPr>
                <w:rFonts w:ascii="Liberation Sans" w:hAnsi="Liberation Sans"/>
                <w:b/>
                <w:color w:val="966500"/>
                <w:sz w:val="15"/>
              </w:rPr>
              <w:t>FOLLOW-UP / TRACE</w:t>
            </w:r>
          </w:p>
        </w:tc>
      </w:tr>
      <w:tr>
        <w:trPr>
          <w:cantSplit/>
        </w:trPr>
        <w:tc>
          <w:tcPr>
            <w:tcW w:type="dxa" w:w="1728"/>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5"/>
              </w:rPr>
              <w:t>Task artifact</w:t>
            </w:r>
          </w:p>
        </w:tc>
        <w:tc>
          <w:tcPr>
            <w:tcW w:type="dxa" w:w="1656"/>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5"/>
              </w:rPr>
              <w:t>TASK0020173</w:t>
            </w:r>
          </w:p>
        </w:tc>
        <w:tc>
          <w:tcPr>
            <w:tcW w:type="dxa" w:w="5400"/>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5"/>
              </w:rPr>
              <w:t>Generic task record created during navigation/validation; blank Short description; State = Open. It was not changed or deleted.</w:t>
            </w:r>
          </w:p>
        </w:tc>
        <w:tc>
          <w:tcPr>
            <w:tcW w:type="dxa" w:w="1296"/>
            <w:vAlign w:val="center"/>
            <w:tcMar>
              <w:top w:w="65" w:type="dxa"/>
              <w:start w:w="80" w:type="dxa"/>
              <w:bottom w:w="65" w:type="dxa"/>
              <w:end w:w="80" w:type="dxa"/>
            </w:tcMar>
            <w:shd w:fill="FFF4D6"/>
          </w:tcPr>
          <w:p>
            <w:pPr>
              <w:spacing w:after="0" w:before="0" w:line="240" w:lineRule="auto"/>
            </w:pPr>
            <w:r>
              <w:rPr>
                <w:color w:val="966500"/>
              </w:rPr>
            </w:r>
            <w:r>
              <w:rPr>
                <w:rFonts w:ascii="Liberation Sans" w:hAnsi="Liberation Sans"/>
                <w:b/>
                <w:color w:val="966500"/>
                <w:sz w:val="15"/>
              </w:rPr>
              <w:t>REVIEW CLEANUP</w:t>
            </w:r>
          </w:p>
        </w:tc>
      </w:tr>
    </w:tbl>
    <w:p>
      <w:pPr>
        <w:spacing w:after="0" w:line="144" w:lineRule="auto"/>
      </w:pPr>
    </w:p>
    <w:p>
      <w:pPr>
        <w:pStyle w:val="Heading2"/>
        <w:keepNext/>
        <w:spacing w:after="80" w:before="100"/>
      </w:pPr>
      <w:r>
        <w:t>Findings</w:t>
      </w:r>
    </w:p>
    <w:p>
      <w:pPr>
        <w:pStyle w:val="ListBullet"/>
        <w:spacing w:after="40" w:line="240" w:lineRule="auto"/>
        <w:ind w:left="317" w:hanging="187"/>
      </w:pPr>
      <w:r>
        <w:rPr>
          <w:rFonts w:ascii="Liberation Sans" w:hAnsi="Liberation Sans"/>
          <w:color w:val="1F2D36"/>
          <w:sz w:val="17"/>
        </w:rPr>
        <w:t>The REQ-to-RITM relationship was confirmed on the parent Request and Requested Item forms.</w:t>
      </w:r>
    </w:p>
    <w:p>
      <w:pPr>
        <w:pStyle w:val="ListBullet"/>
        <w:spacing w:after="40" w:line="240" w:lineRule="auto"/>
        <w:ind w:left="317" w:hanging="187"/>
      </w:pPr>
      <w:r>
        <w:rPr>
          <w:rFonts w:ascii="Liberation Sans" w:hAnsi="Liberation Sans"/>
          <w:color w:val="1F2D36"/>
          <w:sz w:val="17"/>
        </w:rPr>
        <w:t>REQ0010004 is approved; RITM0010005 has Stage = Request Approved and State = Open. Fulfillment completion was not demonstrated by the inspected record.</w:t>
      </w:r>
    </w:p>
    <w:p>
      <w:pPr>
        <w:pStyle w:val="ListBullet"/>
        <w:spacing w:after="40" w:line="240" w:lineRule="auto"/>
        <w:ind w:left="317" w:hanging="187"/>
      </w:pPr>
      <w:r>
        <w:rPr>
          <w:rFonts w:ascii="Liberation Sans" w:hAnsi="Liberation Sans"/>
          <w:color w:val="1F2D36"/>
          <w:sz w:val="17"/>
        </w:rPr>
        <w:t>“QA testing #2” is an intentional custom catalog variable value. The Request header’s Requested for reference (System Administrator) is a different field and is not treated as a data mismatch.</w:t>
      </w:r>
    </w:p>
    <w:p>
      <w:pPr>
        <w:pStyle w:val="ListBullet"/>
        <w:spacing w:after="40" w:line="240" w:lineRule="auto"/>
        <w:ind w:left="317" w:hanging="187"/>
      </w:pPr>
      <w:r>
        <w:rPr>
          <w:rFonts w:ascii="Liberation Sans" w:hAnsi="Liberation Sans"/>
          <w:color w:val="1F2D36"/>
          <w:sz w:val="17"/>
        </w:rPr>
        <w:t>Empty Approvers / Group approvals lists on the parent Request do not alone prove a broken approval flow. Both approval and rejection were reported successful. Trace the flow’s actual approval target only if an auditor needs a direct approval-record ID.</w:t>
      </w:r>
    </w:p>
    <w:p>
      <w:pPr>
        <w:pStyle w:val="ListBullet"/>
        <w:spacing w:after="40" w:line="240" w:lineRule="auto"/>
        <w:ind w:left="317" w:hanging="187"/>
      </w:pPr>
      <w:r>
        <w:rPr>
          <w:rFonts w:ascii="Liberation Sans" w:hAnsi="Liberation Sans"/>
          <w:color w:val="1F2D36"/>
          <w:sz w:val="17"/>
        </w:rPr>
        <w:t>Review TASK0020173 as a test artifact before handover. Do not delete it automatically; follow the project or instance cleanup policy.</w:t>
      </w:r>
    </w:p>
    <w:tbl>
      <w:tblPr>
        <w:tblW w:type="auto" w:w="0"/>
        <w:jc w:val="center"/>
        <w:tblLayout w:type="fixed"/>
        <w:tblLook w:firstColumn="1" w:firstRow="1" w:lastColumn="0" w:lastRow="0" w:noHBand="0" w:noVBand="1" w:val="04A0"/>
        <w:tblBorders>
          <w:top w:val="single" w:sz="0" w:space="0" w:color="EAF4F5"/>
          <w:left w:val="single" w:sz="0" w:space="0" w:color="EAF4F5"/>
          <w:bottom w:val="single" w:sz="0" w:space="0" w:color="EAF4F5"/>
          <w:right w:val="single" w:sz="0" w:space="0" w:color="EAF4F5"/>
          <w:insideH w:val="single" w:sz="0" w:space="0" w:color="EAF4F5"/>
          <w:insideV w:val="single" w:sz="0" w:space="0" w:color="EAF4F5"/>
        </w:tblBorders>
      </w:tblPr>
      <w:tblGrid>
        <w:gridCol w:w="10080"/>
      </w:tblGrid>
      <w:tr>
        <w:tc>
          <w:tcPr>
            <w:tcW w:type="dxa" w:w="10282"/>
            <w:shd w:fill="EAF4F5"/>
            <w:tcMar>
              <w:top w:w="95" w:type="dxa"/>
              <w:start w:w="140" w:type="dxa"/>
              <w:bottom w:w="95" w:type="dxa"/>
              <w:end w:w="140" w:type="dxa"/>
            </w:tcMar>
          </w:tcPr>
          <w:p>
            <w:pPr>
              <w:spacing w:after="40"/>
            </w:pPr>
            <w:r/>
            <w:r>
              <w:rPr>
                <w:rFonts w:ascii="Liberation Sans" w:hAnsi="Liberation Sans"/>
                <w:b/>
                <w:color w:val="087E8B"/>
                <w:sz w:val="18"/>
              </w:rPr>
              <w:t>Data-integrity assessment</w:t>
            </w:r>
          </w:p>
          <w:p>
            <w:pPr>
              <w:spacing w:after="0" w:line="240" w:lineRule="auto"/>
            </w:pPr>
            <w:r>
              <w:rPr>
                <w:rFonts w:ascii="Liberation Sans" w:hAnsi="Liberation Sans"/>
                <w:color w:val="1F2D36"/>
                <w:sz w:val="17"/>
              </w:rPr>
              <w:t>Confirmed: parent/child linkage, parent approval fields, item identity, quantity, and intentional test-variable value. Follow-up: understand the open fulfillment state, identify the approval-record location if required, and decide how to handle TASK0020173.</w:t>
            </w:r>
          </w:p>
        </w:tc>
      </w:tr>
    </w:tbl>
    <w:p>
      <w:pPr>
        <w:spacing w:after="0"/>
      </w:pPr>
    </w:p>
    <w:p>
      <w:r>
        <w:br w:type="page"/>
      </w:r>
    </w:p>
    <w:p>
      <w:pPr>
        <w:pStyle w:val="Heading1"/>
        <w:keepNext/>
        <w:spacing w:after="80" w:before="100"/>
      </w:pPr>
      <w:r>
        <w:t>6. Email incident and resolution</w:t>
      </w:r>
    </w:p>
    <w:p>
      <w:pPr>
        <w:spacing w:after="80" w:line="250" w:lineRule="auto"/>
      </w:pPr>
      <w:r>
        <w:rPr>
          <w:rFonts w:ascii="Liberation Sans" w:hAnsi="Liberation Sans"/>
          <w:color w:val="1F2D36"/>
          <w:sz w:val="17"/>
        </w:rPr>
        <w:t>Initial symptoms: Email Diagnostics showed sending disabled / no sent email, a queue of 20, and “Last Sent Email: None Sent”. Instance Email Properties already showed sending enabled, while the separate developer-portal switch still needed enabling. Diagnostics also showed “No Email Accounts Defined”.</w:t>
      </w:r>
    </w:p>
    <w:tbl>
      <w:tblPr>
        <w:tblW w:type="auto" w:w="0"/>
        <w:jc w:val="center"/>
        <w:tblLayout w:type="fixed"/>
        <w:tblLook w:firstColumn="1" w:firstRow="1" w:lastColumn="0" w:lastRow="0" w:noHBand="0" w:noVBand="1" w:val="04A0"/>
        <w:tblBorders>
          <w:top w:val="single" w:sz="4" w:space="0" w:color="D6E1E6"/>
          <w:left w:val="single" w:sz="4" w:space="0" w:color="D6E1E6"/>
          <w:bottom w:val="single" w:sz="4" w:space="0" w:color="D6E1E6"/>
          <w:right w:val="single" w:sz="4" w:space="0" w:color="D6E1E6"/>
          <w:insideH w:val="single" w:sz="4" w:space="0" w:color="D6E1E6"/>
          <w:insideV w:val="single" w:sz="4" w:space="0" w:color="D6E1E6"/>
        </w:tblBorders>
      </w:tblPr>
      <w:tblGrid>
        <w:gridCol w:w="5141"/>
        <w:gridCol w:w="5141"/>
      </w:tblGrid>
      <w:tr>
        <w:trPr>
          <w:tblHeader w:val="true"/>
          <w:cantSplit/>
        </w:trPr>
        <w:tc>
          <w:tcPr>
            <w:tcW w:type="dxa" w:w="2160"/>
            <w:vAlign w:val="center"/>
            <w:tcMar>
              <w:top w:w="65" w:type="dxa"/>
              <w:start w:w="80" w:type="dxa"/>
              <w:bottom w:w="65" w:type="dxa"/>
              <w:end w:w="80" w:type="dxa"/>
            </w:tcMar>
            <w:shd w:fill="123047"/>
          </w:tcPr>
          <w:p>
            <w:pPr>
              <w:spacing w:after="0" w:before="0" w:line="240" w:lineRule="auto"/>
            </w:pPr>
            <w:r/>
            <w:r>
              <w:rPr>
                <w:rFonts w:ascii="Liberation Sans" w:hAnsi="Liberation Sans"/>
                <w:b/>
                <w:color w:val="FFFFFF"/>
                <w:sz w:val="16"/>
              </w:rPr>
              <w:t>STEP</w:t>
            </w:r>
          </w:p>
        </w:tc>
        <w:tc>
          <w:tcPr>
            <w:tcW w:type="dxa" w:w="7920"/>
            <w:vAlign w:val="center"/>
            <w:tcMar>
              <w:top w:w="65" w:type="dxa"/>
              <w:start w:w="80" w:type="dxa"/>
              <w:bottom w:w="65" w:type="dxa"/>
              <w:end w:w="80" w:type="dxa"/>
            </w:tcMar>
            <w:shd w:fill="123047"/>
          </w:tcPr>
          <w:p>
            <w:pPr>
              <w:spacing w:after="0" w:before="0" w:line="240" w:lineRule="auto"/>
            </w:pPr>
            <w:r/>
            <w:r>
              <w:rPr>
                <w:rFonts w:ascii="Liberation Sans" w:hAnsi="Liberation Sans"/>
                <w:b/>
                <w:color w:val="FFFFFF"/>
                <w:sz w:val="16"/>
              </w:rPr>
              <w:t>RESOLUTION / EVIDENCE</w:t>
            </w:r>
          </w:p>
        </w:tc>
      </w:tr>
      <w:tr>
        <w:trPr>
          <w:cantSplit/>
        </w:trPr>
        <w:tc>
          <w:tcPr>
            <w:tcW w:type="dxa" w:w="2160"/>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1. Safe routing</w:t>
            </w:r>
          </w:p>
        </w:tc>
        <w:tc>
          <w:tcPr>
            <w:tcW w:type="dxa" w:w="7920"/>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Configured glide.email.test.user to redirect outbound messages to a disposable test inbox before sender activation.</w:t>
            </w:r>
          </w:p>
        </w:tc>
      </w:tr>
      <w:tr>
        <w:trPr>
          <w:cantSplit/>
        </w:trPr>
        <w:tc>
          <w:tcPr>
            <w:tcW w:type="dxa" w:w="2160"/>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2. PDI control</w:t>
            </w:r>
          </w:p>
        </w:tc>
        <w:tc>
          <w:tcPr>
            <w:tcW w:type="dxa" w:w="7920"/>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Enabled the developer-portal email control; sending then appeared Enabled in diagnostics.</w:t>
            </w:r>
          </w:p>
        </w:tc>
      </w:tr>
      <w:tr>
        <w:trPr>
          <w:cantSplit/>
        </w:trPr>
        <w:tc>
          <w:tcPr>
            <w:tcW w:type="dxa" w:w="2160"/>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3. SMTP account</w:t>
            </w:r>
          </w:p>
        </w:tc>
        <w:tc>
          <w:tcPr>
            <w:tcW w:type="dxa" w:w="7920"/>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Created Network Request Test SMTP using smtp.gmail.com, port 587, STARTTLS, and a Google App Password.</w:t>
            </w:r>
          </w:p>
        </w:tc>
      </w:tr>
      <w:tr>
        <w:trPr>
          <w:cantSplit/>
        </w:trPr>
        <w:tc>
          <w:tcPr>
            <w:tcW w:type="dxa" w:w="2160"/>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4. Authentication</w:t>
            </w:r>
          </w:p>
        </w:tc>
        <w:tc>
          <w:tcPr>
            <w:tcW w:type="dxa" w:w="7920"/>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First Test Connection failed with 535-5.7.8 BadCredentials because extra spaces were entered in the App Password. Re-entering it without spaces made Test Connection succeed.</w:t>
            </w:r>
          </w:p>
        </w:tc>
      </w:tr>
      <w:tr>
        <w:trPr>
          <w:cantSplit/>
        </w:trPr>
        <w:tc>
          <w:tcPr>
            <w:tcW w:type="dxa" w:w="2160"/>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5. Activation</w:t>
            </w:r>
          </w:p>
        </w:tc>
        <w:tc>
          <w:tcPr>
            <w:tcW w:type="dxa" w:w="7920"/>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Diagnostics showed the SMTP account Inactive. After setting it active, SMTP Sender entered Running state.</w:t>
            </w:r>
          </w:p>
        </w:tc>
      </w:tr>
      <w:tr>
        <w:trPr>
          <w:cantSplit/>
        </w:trPr>
        <w:tc>
          <w:tcPr>
            <w:tcW w:type="dxa" w:w="2160"/>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6. Delivery proof</w:t>
            </w:r>
          </w:p>
        </w:tc>
        <w:tc>
          <w:tcPr>
            <w:tcW w:type="dxa" w:w="7920"/>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Queue reduced from 20 to 5; Last Sent Email showed a timestamp; notification messages appeared in the test inbox.</w:t>
            </w:r>
          </w:p>
        </w:tc>
      </w:tr>
    </w:tbl>
    <w:p>
      <w:pPr>
        <w:spacing w:after="0" w:line="144" w:lineRule="auto"/>
      </w:pPr>
    </w:p>
    <w:p>
      <w:pPr>
        <w:pStyle w:val="Heading2"/>
        <w:keepNext/>
        <w:spacing w:after="80" w:before="100"/>
      </w:pPr>
      <w:r>
        <w:t>Operational and security notes</w:t>
      </w:r>
    </w:p>
    <w:p>
      <w:pPr>
        <w:pStyle w:val="ListBullet"/>
        <w:spacing w:after="40" w:line="240" w:lineRule="auto"/>
        <w:ind w:left="317" w:hanging="187"/>
      </w:pPr>
      <w:r>
        <w:rPr>
          <w:rFonts w:ascii="Liberation Sans" w:hAnsi="Liberation Sans"/>
          <w:color w:val="1F2D36"/>
          <w:sz w:val="16"/>
        </w:rPr>
        <w:t>Test routing is global: it can redirect unrelated ServiceNow notifications as well as Network Request emails. The test inbox contained unrelated platform messages.</w:t>
      </w:r>
    </w:p>
    <w:p>
      <w:pPr>
        <w:pStyle w:val="ListBullet"/>
        <w:spacing w:after="40" w:line="240" w:lineRule="auto"/>
        <w:ind w:left="317" w:hanging="187"/>
      </w:pPr>
      <w:r>
        <w:rPr>
          <w:rFonts w:ascii="Liberation Sans" w:hAnsi="Liberation Sans"/>
          <w:color w:val="1F2D36"/>
          <w:sz w:val="16"/>
        </w:rPr>
        <w:t>Keep test routing enabled while the five remaining queued messages are inspected. Do not delete them or clear routing before their purpose and state are understood.</w:t>
      </w:r>
    </w:p>
    <w:p>
      <w:pPr>
        <w:pStyle w:val="ListBullet"/>
        <w:spacing w:after="40" w:line="240" w:lineRule="auto"/>
        <w:ind w:left="317" w:hanging="187"/>
      </w:pPr>
      <w:r>
        <w:rPr>
          <w:rFonts w:ascii="Liberation Sans" w:hAnsi="Liberation Sans"/>
          <w:color w:val="1F2D36"/>
          <w:sz w:val="16"/>
        </w:rPr>
        <w:t>Diagnostics showed Email Receiving Enabled but Non-Operational. If inbound processing is not in scope, set receiving to No in Email Properties and verify the result; this cleanup was not confirmed complete.</w:t>
      </w:r>
    </w:p>
    <w:p>
      <w:pPr>
        <w:pStyle w:val="ListBullet"/>
        <w:spacing w:after="40" w:line="240" w:lineRule="auto"/>
        <w:ind w:left="317" w:hanging="187"/>
      </w:pPr>
      <w:r>
        <w:rPr>
          <w:rFonts w:ascii="Liberation Sans" w:hAnsi="Liberation Sans"/>
          <w:color w:val="1F2D36"/>
          <w:sz w:val="16"/>
        </w:rPr>
        <w:t>The Gmail/App Password setup is a PDI test configuration, not a production deployment recommendation. Use an approved mail configuration and credential policy in any target production environment.</w:t>
      </w:r>
    </w:p>
    <w:p>
      <w:r>
        <w:br w:type="page"/>
      </w:r>
    </w:p>
    <w:p>
      <w:pPr>
        <w:pStyle w:val="Heading1"/>
        <w:keepNext/>
        <w:spacing w:after="80" w:before="100"/>
      </w:pPr>
      <w:r>
        <w:t>7. Phase 5 handover checklist</w:t>
      </w:r>
    </w:p>
    <w:tbl>
      <w:tblPr>
        <w:tblW w:type="auto" w:w="0"/>
        <w:jc w:val="center"/>
        <w:tblLayout w:type="fixed"/>
        <w:tblLook w:firstColumn="1" w:firstRow="1" w:lastColumn="0" w:lastRow="0" w:noHBand="0" w:noVBand="1" w:val="04A0"/>
        <w:tblBorders>
          <w:top w:val="single" w:sz="4" w:space="0" w:color="D6E1E6"/>
          <w:left w:val="single" w:sz="4" w:space="0" w:color="D6E1E6"/>
          <w:bottom w:val="single" w:sz="4" w:space="0" w:color="D6E1E6"/>
          <w:right w:val="single" w:sz="4" w:space="0" w:color="D6E1E6"/>
          <w:insideH w:val="single" w:sz="4" w:space="0" w:color="D6E1E6"/>
          <w:insideV w:val="single" w:sz="4" w:space="0" w:color="D6E1E6"/>
        </w:tblBorders>
      </w:tblPr>
      <w:tblGrid>
        <w:gridCol w:w="5141"/>
        <w:gridCol w:w="5141"/>
      </w:tblGrid>
      <w:tr>
        <w:trPr>
          <w:tblHeader w:val="true"/>
          <w:cantSplit/>
        </w:trPr>
        <w:tc>
          <w:tcPr>
            <w:tcW w:type="dxa" w:w="8064"/>
            <w:vAlign w:val="center"/>
            <w:tcMar>
              <w:top w:w="65" w:type="dxa"/>
              <w:start w:w="80" w:type="dxa"/>
              <w:bottom w:w="65" w:type="dxa"/>
              <w:end w:w="80" w:type="dxa"/>
            </w:tcMar>
            <w:shd w:fill="123047"/>
          </w:tcPr>
          <w:p>
            <w:pPr>
              <w:spacing w:after="0" w:before="0" w:line="240" w:lineRule="auto"/>
            </w:pPr>
            <w:r/>
            <w:r>
              <w:rPr>
                <w:rFonts w:ascii="Liberation Sans" w:hAnsi="Liberation Sans"/>
                <w:b/>
                <w:color w:val="FFFFFF"/>
                <w:sz w:val="16"/>
              </w:rPr>
              <w:t>ACTION</w:t>
            </w:r>
          </w:p>
        </w:tc>
        <w:tc>
          <w:tcPr>
            <w:tcW w:type="dxa" w:w="2016"/>
            <w:vAlign w:val="center"/>
            <w:tcMar>
              <w:top w:w="65" w:type="dxa"/>
              <w:start w:w="80" w:type="dxa"/>
              <w:bottom w:w="65" w:type="dxa"/>
              <w:end w:w="80" w:type="dxa"/>
            </w:tcMar>
            <w:shd w:fill="123047"/>
          </w:tcPr>
          <w:p>
            <w:pPr>
              <w:spacing w:after="0" w:before="0" w:line="240" w:lineRule="auto"/>
            </w:pPr>
            <w:r/>
            <w:r>
              <w:rPr>
                <w:rFonts w:ascii="Liberation Sans" w:hAnsi="Liberation Sans"/>
                <w:b/>
                <w:color w:val="FFFFFF"/>
                <w:sz w:val="16"/>
              </w:rPr>
              <w:t>STATUS</w:t>
            </w:r>
          </w:p>
        </w:tc>
      </w:tr>
      <w:tr>
        <w:trPr>
          <w:cantSplit/>
        </w:trPr>
        <w:tc>
          <w:tcPr>
            <w:tcW w:type="dxa" w:w="8064"/>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Retain the recorded IDs used for demo evidence: REQ0010004 / RITM0010005.</w:t>
            </w:r>
          </w:p>
        </w:tc>
        <w:tc>
          <w:tcPr>
            <w:tcW w:type="dxa" w:w="2016"/>
            <w:vAlign w:val="center"/>
            <w:tcMar>
              <w:top w:w="65" w:type="dxa"/>
              <w:start w:w="80" w:type="dxa"/>
              <w:bottom w:w="65" w:type="dxa"/>
              <w:end w:w="80" w:type="dxa"/>
            </w:tcMar>
          </w:tcPr>
          <w:p>
            <w:pPr>
              <w:spacing w:after="0" w:before="0" w:line="240" w:lineRule="auto"/>
            </w:pPr>
            <w:r/>
            <w:r>
              <w:rPr>
                <w:rFonts w:ascii="Liberation Sans" w:hAnsi="Liberation Sans"/>
                <w:b/>
                <w:color w:val="1F2D36"/>
                <w:sz w:val="16"/>
              </w:rPr>
              <w:t>RECORDED</w:t>
            </w:r>
          </w:p>
        </w:tc>
      </w:tr>
      <w:tr>
        <w:trPr>
          <w:cantSplit/>
        </w:trPr>
        <w:tc>
          <w:tcPr>
            <w:tcW w:type="dxa" w:w="8064"/>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Inspect the five queued messages; preserve test routing until their purpose is clear.</w:t>
            </w:r>
          </w:p>
        </w:tc>
        <w:tc>
          <w:tcPr>
            <w:tcW w:type="dxa" w:w="2016"/>
            <w:vAlign w:val="center"/>
            <w:tcMar>
              <w:top w:w="65" w:type="dxa"/>
              <w:start w:w="80" w:type="dxa"/>
              <w:bottom w:w="65" w:type="dxa"/>
              <w:end w:w="80" w:type="dxa"/>
            </w:tcMar>
            <w:shd w:fill="FFF4D6"/>
          </w:tcPr>
          <w:p>
            <w:pPr>
              <w:spacing w:after="0" w:before="0" w:line="240" w:lineRule="auto"/>
            </w:pPr>
            <w:r>
              <w:rPr>
                <w:color w:val="966500"/>
              </w:rPr>
            </w:r>
            <w:r>
              <w:rPr>
                <w:rFonts w:ascii="Liberation Sans" w:hAnsi="Liberation Sans"/>
                <w:b/>
                <w:color w:val="966500"/>
                <w:sz w:val="16"/>
              </w:rPr>
              <w:t>PENDING</w:t>
            </w:r>
          </w:p>
        </w:tc>
      </w:tr>
      <w:tr>
        <w:trPr>
          <w:cantSplit/>
        </w:trPr>
        <w:tc>
          <w:tcPr>
            <w:tcW w:type="dxa" w:w="8064"/>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Disable inbound receiving if it is not part of scope, then recheck diagnostics.</w:t>
            </w:r>
          </w:p>
        </w:tc>
        <w:tc>
          <w:tcPr>
            <w:tcW w:type="dxa" w:w="2016"/>
            <w:vAlign w:val="center"/>
            <w:tcMar>
              <w:top w:w="65" w:type="dxa"/>
              <w:start w:w="80" w:type="dxa"/>
              <w:bottom w:w="65" w:type="dxa"/>
              <w:end w:w="80" w:type="dxa"/>
            </w:tcMar>
            <w:shd w:fill="FFF4D6"/>
          </w:tcPr>
          <w:p>
            <w:pPr>
              <w:spacing w:after="0" w:before="0" w:line="240" w:lineRule="auto"/>
            </w:pPr>
            <w:r>
              <w:rPr>
                <w:color w:val="966500"/>
              </w:rPr>
            </w:r>
            <w:r>
              <w:rPr>
                <w:rFonts w:ascii="Liberation Sans" w:hAnsi="Liberation Sans"/>
                <w:b/>
                <w:color w:val="966500"/>
                <w:sz w:val="16"/>
              </w:rPr>
              <w:t>PENDING</w:t>
            </w:r>
          </w:p>
        </w:tc>
      </w:tr>
      <w:tr>
        <w:trPr>
          <w:cantSplit/>
        </w:trPr>
        <w:tc>
          <w:tcPr>
            <w:tcW w:type="dxa" w:w="8064"/>
            <w:vAlign w:val="center"/>
            <w:tcMar>
              <w:top w:w="65" w:type="dxa"/>
              <w:start w:w="80" w:type="dxa"/>
              <w:bottom w:w="65" w:type="dxa"/>
              <w:end w:w="80" w:type="dxa"/>
            </w:tcMar>
            <w:shd w:fill="F5F8FA"/>
          </w:tcPr>
          <w:p>
            <w:pPr>
              <w:spacing w:after="0" w:before="0" w:line="240" w:lineRule="auto"/>
            </w:pPr>
            <w:r/>
            <w:r>
              <w:rPr>
                <w:rFonts w:ascii="Liberation Sans" w:hAnsi="Liberation Sans"/>
                <w:b w:val="0"/>
                <w:color w:val="1F2D36"/>
                <w:sz w:val="16"/>
              </w:rPr>
              <w:t>Trace the approval record location if a direct approval-table reference is required.</w:t>
            </w:r>
          </w:p>
        </w:tc>
        <w:tc>
          <w:tcPr>
            <w:tcW w:type="dxa" w:w="2016"/>
            <w:vAlign w:val="center"/>
            <w:tcMar>
              <w:top w:w="65" w:type="dxa"/>
              <w:start w:w="80" w:type="dxa"/>
              <w:bottom w:w="65" w:type="dxa"/>
              <w:end w:w="80" w:type="dxa"/>
            </w:tcMar>
            <w:shd w:fill="FFF4D6"/>
          </w:tcPr>
          <w:p>
            <w:pPr>
              <w:spacing w:after="0" w:before="0" w:line="240" w:lineRule="auto"/>
            </w:pPr>
            <w:r>
              <w:rPr>
                <w:color w:val="966500"/>
              </w:rPr>
            </w:r>
            <w:r>
              <w:rPr>
                <w:rFonts w:ascii="Liberation Sans" w:hAnsi="Liberation Sans"/>
                <w:b/>
                <w:color w:val="966500"/>
                <w:sz w:val="16"/>
              </w:rPr>
              <w:t>RECOMMENDED</w:t>
            </w:r>
          </w:p>
        </w:tc>
      </w:tr>
      <w:tr>
        <w:trPr>
          <w:cantSplit/>
        </w:trPr>
        <w:tc>
          <w:tcPr>
            <w:tcW w:type="dxa" w:w="8064"/>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Review TASK0020173 and apply the instance/project cleanup policy.</w:t>
            </w:r>
          </w:p>
        </w:tc>
        <w:tc>
          <w:tcPr>
            <w:tcW w:type="dxa" w:w="2016"/>
            <w:vAlign w:val="center"/>
            <w:tcMar>
              <w:top w:w="65" w:type="dxa"/>
              <w:start w:w="80" w:type="dxa"/>
              <w:bottom w:w="65" w:type="dxa"/>
              <w:end w:w="80" w:type="dxa"/>
            </w:tcMar>
            <w:shd w:fill="FFF4D6"/>
          </w:tcPr>
          <w:p>
            <w:pPr>
              <w:spacing w:after="0" w:before="0" w:line="240" w:lineRule="auto"/>
            </w:pPr>
            <w:r>
              <w:rPr>
                <w:color w:val="966500"/>
              </w:rPr>
            </w:r>
            <w:r>
              <w:rPr>
                <w:rFonts w:ascii="Liberation Sans" w:hAnsi="Liberation Sans"/>
                <w:b/>
                <w:color w:val="966500"/>
                <w:sz w:val="16"/>
              </w:rPr>
              <w:t>PENDING</w:t>
            </w:r>
          </w:p>
        </w:tc>
      </w:tr>
      <w:tr>
        <w:trPr>
          <w:cantSplit/>
        </w:trPr>
        <w:tc>
          <w:tcPr>
            <w:tcW w:type="dxa" w:w="8064"/>
            <w:vAlign w:val="center"/>
            <w:tcMar>
              <w:top w:w="65" w:type="dxa"/>
              <w:start w:w="80" w:type="dxa"/>
              <w:bottom w:w="65" w:type="dxa"/>
              <w:end w:w="80" w:type="dxa"/>
            </w:tcMar>
            <w:shd w:fill="F5F8FA"/>
          </w:tcPr>
          <w:p>
            <w:r>
              <w:t>Use the included catalog, REQ/RITM, diagnostics and inbox evidence screenshots; capture a dedicated rejection-record screenshot only if direct proof is required.</w:t>
            </w:r>
          </w:p>
        </w:tc>
        <w:tc>
          <w:tcPr>
            <w:tcW w:type="dxa" w:w="2016"/>
            <w:vAlign w:val="center"/>
            <w:tcMar>
              <w:top w:w="65" w:type="dxa"/>
              <w:start w:w="80" w:type="dxa"/>
              <w:bottom w:w="65" w:type="dxa"/>
              <w:end w:w="80" w:type="dxa"/>
            </w:tcMar>
            <w:shd w:fill="FFF4D6"/>
          </w:tcPr>
          <w:p>
            <w:r>
              <w:t>PARTIAL / OPTIONAL</w:t>
            </w:r>
          </w:p>
        </w:tc>
      </w:tr>
      <w:tr>
        <w:trPr>
          <w:cantSplit/>
        </w:trPr>
        <w:tc>
          <w:tcPr>
            <w:tcW w:type="dxa" w:w="8064"/>
            <w:vAlign w:val="center"/>
            <w:tcMar>
              <w:top w:w="65" w:type="dxa"/>
              <w:start w:w="80" w:type="dxa"/>
              <w:bottom w:w="65" w:type="dxa"/>
              <w:end w:w="80" w:type="dxa"/>
            </w:tcMar>
          </w:tcPr>
          <w:p>
            <w:pPr>
              <w:spacing w:after="0" w:before="0" w:line="240" w:lineRule="auto"/>
            </w:pPr>
            <w:r/>
            <w:r>
              <w:rPr>
                <w:rFonts w:ascii="Liberation Sans" w:hAnsi="Liberation Sans"/>
                <w:b w:val="0"/>
                <w:color w:val="1F2D36"/>
                <w:sz w:val="16"/>
              </w:rPr>
              <w:t>Keep SMTP credentials and the full disposable test address out of shared documentation.</w:t>
            </w:r>
          </w:p>
        </w:tc>
        <w:tc>
          <w:tcPr>
            <w:tcW w:type="dxa" w:w="2016"/>
            <w:vAlign w:val="center"/>
            <w:tcMar>
              <w:top w:w="65" w:type="dxa"/>
              <w:start w:w="80" w:type="dxa"/>
              <w:bottom w:w="65" w:type="dxa"/>
              <w:end w:w="80" w:type="dxa"/>
            </w:tcMar>
          </w:tcPr>
          <w:p>
            <w:pPr>
              <w:spacing w:after="0" w:before="0" w:line="240" w:lineRule="auto"/>
            </w:pPr>
            <w:r/>
            <w:r>
              <w:rPr>
                <w:rFonts w:ascii="Liberation Sans" w:hAnsi="Liberation Sans"/>
                <w:b/>
                <w:color w:val="1F2D36"/>
                <w:sz w:val="16"/>
              </w:rPr>
              <w:t>REQUIRED</w:t>
            </w:r>
          </w:p>
        </w:tc>
      </w:tr>
    </w:tbl>
    <w:p>
      <w:pPr>
        <w:spacing w:after="0" w:line="144" w:lineRule="auto"/>
      </w:pPr>
    </w:p>
    <w:p>
      <w:pPr>
        <w:pStyle w:val="Heading2"/>
        <w:keepNext/>
        <w:spacing w:after="80" w:before="100"/>
      </w:pPr>
      <w:r>
        <w:t>Evidence index</w:t>
      </w:r>
    </w:p>
    <w:p>
      <w:pPr>
        <w:pStyle w:val="ListBullet"/>
        <w:spacing w:after="40" w:line="240" w:lineRule="auto"/>
        <w:ind w:left="317" w:hanging="187"/>
      </w:pPr>
      <w:r>
        <w:rPr>
          <w:rFonts w:ascii="Liberation Sans" w:hAnsi="Liberation Sans"/>
          <w:color w:val="1F2D36"/>
          <w:sz w:val="16"/>
        </w:rPr>
        <w:t>Catalog form: required markers shown for Requested For, Opened on behalf of, Mobile Number, and Type of Connection; blank required fields blocked Order Now.</w:t>
      </w:r>
    </w:p>
    <w:p>
      <w:pPr>
        <w:pStyle w:val="ListBullet"/>
        <w:spacing w:after="40" w:line="240" w:lineRule="auto"/>
        <w:ind w:left="317" w:hanging="187"/>
      </w:pPr>
      <w:r>
        <w:rPr>
          <w:rFonts w:ascii="Liberation Sans" w:hAnsi="Liberation Sans"/>
          <w:color w:val="1F2D36"/>
          <w:sz w:val="16"/>
        </w:rPr>
        <w:t>Request and item: REQ0010004 shows Approval = Approved and Request state = Approved; related list shows RITM0010005. RITM0010005 shows Request = REQ0010004, Item = Network Request, Stage = Request Approved, Quantity = 1.</w:t>
      </w:r>
    </w:p>
    <w:p>
      <w:pPr>
        <w:pStyle w:val="ListBullet"/>
        <w:spacing w:after="40" w:line="240" w:lineRule="auto"/>
        <w:ind w:left="317" w:hanging="187"/>
      </w:pPr>
      <w:r>
        <w:rPr>
          <w:rFonts w:ascii="Liberation Sans" w:hAnsi="Liberation Sans"/>
          <w:color w:val="1F2D36"/>
          <w:sz w:val="16"/>
        </w:rPr>
        <w:t>Email Diagnostics: SMTP Sender State = Running, queue = 5, Last Sent Email timestamp present, test-routing banner shown.</w:t>
      </w:r>
    </w:p>
    <w:p>
      <w:pPr>
        <w:pStyle w:val="ListBullet"/>
        <w:spacing w:after="40" w:line="240" w:lineRule="auto"/>
        <w:ind w:left="317" w:hanging="187"/>
      </w:pPr>
      <w:r>
        <w:rPr>
          <w:rFonts w:ascii="Liberation Sans" w:hAnsi="Liberation Sans"/>
          <w:color w:val="1F2D36"/>
          <w:sz w:val="16"/>
        </w:rPr>
        <w:t>Test inbox: request-created, request-approved, and awaiting-approval email subjects visible; unrelated platform emails also arrived due to global routing.</w:t>
      </w:r>
    </w:p>
    <w:p>
      <w:pPr>
        <w:pStyle w:val="ListBullet"/>
        <w:spacing w:after="40" w:line="240" w:lineRule="auto"/>
        <w:ind w:left="317" w:hanging="187"/>
      </w:pPr>
      <w:r>
        <w:rPr>
          <w:rFonts w:ascii="Liberation Sans" w:hAnsi="Liberation Sans"/>
          <w:color w:val="1F2D36"/>
          <w:sz w:val="16"/>
        </w:rPr>
        <w:t>User-confirmed outcomes: rejection test succeeded; required-field validation prevented an incomplete order; SMTP Test Connection succeeded after the App Password was re-entered without spaces.</w:t>
      </w:r>
    </w:p>
    <w:p>
      <w:pPr>
        <w:pStyle w:val="Heading1"/>
        <w:keepNext/>
        <w:spacing w:after="80" w:before="100"/>
      </w:pPr>
      <w:r>
        <w:t>Final conclusion</w:t>
      </w:r>
    </w:p>
    <w:p>
      <w:pPr>
        <w:spacing w:after="80" w:line="250" w:lineRule="auto"/>
      </w:pPr>
      <w:r>
        <w:rPr>
          <w:rFonts w:ascii="Liberation Sans" w:hAnsi="Liberation Sans"/>
          <w:color w:val="1F2D36"/>
          <w:sz w:val="17"/>
        </w:rPr>
        <w:t>The core Automated Network Request Management workflow has evidence of successful catalog validation, request creation/linkage, approval and rejection testing, notification generation, SMTP authentication, sender processing, and outbound email delivery to the test inbox. This document is the Phase 5 handover baseline. The remaining queued messages, inbound-email status, approval-record trace (if audit evidence is required), and accidental task artifact are transparently identified as cleanup/review items; they were not silently marked complete.</w:t>
      </w:r>
    </w:p>
    <w:sectPr w:rsidR="00FC693F" w:rsidRPr="0006063C" w:rsidSect="00034616">
      <w:headerReference w:type="default" r:id="rId9"/>
      <w:footerReference w:type="default" r:id="rId10"/>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Liberation Sans" w:hAnsi="Liberation Sans"/>
        <w:color w:val="536574"/>
        <w:sz w:val="15"/>
      </w:rPr>
      <w:t xml:space="preserve">Automated Network Request Management  •  Phase 5 Documentation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b/>
        <w:color w:val="087E8B"/>
        <w:sz w:val="15"/>
      </w:rPr>
      <w:t>SERVICENOW  /  PROJECT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color w:val="1F2D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80"/>
      <w:outlineLvl w:val="0"/>
    </w:pPr>
    <w:rPr>
      <w:rFonts w:asciiTheme="majorHAnsi" w:eastAsiaTheme="majorEastAsia" w:hAnsiTheme="majorHAnsi" w:cstheme="majorBidi" w:ascii="Liberation Sans" w:hAnsi="Liberation Sans"/>
      <w:b/>
      <w:bCs/>
      <w:color w:val="123047"/>
      <w:sz w:val="36"/>
      <w:szCs w:val="28"/>
    </w:rPr>
  </w:style>
  <w:style w:type="paragraph" w:styleId="Heading2">
    <w:name w:val="heading 2"/>
    <w:basedOn w:val="Normal"/>
    <w:next w:val="Normal"/>
    <w:link w:val="Heading2Char"/>
    <w:uiPriority w:val="9"/>
    <w:unhideWhenUsed/>
    <w:qFormat/>
    <w:rsid w:val="00FC693F"/>
    <w:pPr>
      <w:keepNext/>
      <w:keepLines/>
      <w:spacing w:before="60" w:after="80"/>
      <w:outlineLvl w:val="1"/>
    </w:pPr>
    <w:rPr>
      <w:rFonts w:asciiTheme="majorHAnsi" w:eastAsiaTheme="majorEastAsia" w:hAnsiTheme="majorHAnsi" w:cstheme="majorBidi" w:ascii="Liberation Sans" w:hAnsi="Liberation Sans"/>
      <w:b/>
      <w:bCs/>
      <w:color w:val="087E8B"/>
      <w:sz w:val="23"/>
      <w:szCs w:val="26"/>
    </w:rPr>
  </w:style>
  <w:style w:type="paragraph" w:styleId="Heading3">
    <w:name w:val="heading 3"/>
    <w:basedOn w:val="Normal"/>
    <w:next w:val="Normal"/>
    <w:link w:val="Heading3Char"/>
    <w:uiPriority w:val="9"/>
    <w:unhideWhenUsed/>
    <w:qFormat/>
    <w:rsid w:val="00FC693F"/>
    <w:pPr>
      <w:keepNext/>
      <w:keepLines/>
      <w:spacing w:before="60" w:after="80"/>
      <w:outlineLvl w:val="2"/>
    </w:pPr>
    <w:rPr>
      <w:rFonts w:asciiTheme="majorHAnsi" w:eastAsiaTheme="majorEastAsia" w:hAnsiTheme="majorHAnsi" w:cstheme="majorBidi" w:ascii="Liberation Sans" w:hAnsi="Liberation Sans"/>
      <w:b/>
      <w:bCs/>
      <w:color w:val="12304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60"/>
      <w:contextualSpacing/>
    </w:pPr>
    <w:rPr>
      <w:rFonts w:asciiTheme="majorHAnsi" w:eastAsiaTheme="majorEastAsia" w:hAnsiTheme="majorHAnsi" w:cstheme="majorBidi" w:ascii="Liberation Sans" w:hAnsi="Liberation Sans"/>
      <w:b/>
      <w:color w:val="12304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Network Request Management - Phase 5 Documentation</dc:title>
  <dc:subject>Automated Network Request Management — SkillWallet submission</dc:subject>
  <dc:creator>PILLEM RAHUL</dc:creator>
  <cp:keywords>ServiceNow, Network Request, QA, SMTP, approval workflow, handover</cp:keywords>
  <dc:description>Contains no SMTP credentials or full test inbox address.</dc:description>
  <cp:lastModifiedBy/>
  <cp:revision>1</cp:revision>
  <dcterms:created xsi:type="dcterms:W3CDTF">2013-12-23T23:15:00Z</dcterms:created>
  <dcterms:modified xsi:type="dcterms:W3CDTF">2013-12-23T23:15:00Z</dcterms:modified>
  <cp:category/>
</cp:coreProperties>
</file>