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C3B8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52436AB6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5F6F6719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6E473B06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3D74A1BB" w14:textId="694268E6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A33195">
        <w:rPr>
          <w:rFonts w:asciiTheme="minorHAnsi" w:hAnsiTheme="minorHAnsi" w:cstheme="minorHAnsi"/>
          <w:b/>
          <w:bCs/>
          <w:sz w:val="22"/>
          <w:szCs w:val="22"/>
        </w:rPr>
        <w:t>Assignment 2</w:t>
      </w:r>
    </w:p>
    <w:p w14:paraId="3E6D4EC3" w14:textId="3DB0438D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E1C4121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027361CA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F7B38C8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A33195">
        <w:rPr>
          <w:rFonts w:asciiTheme="minorHAnsi" w:hAnsiTheme="minorHAnsi" w:cstheme="minorHAnsi"/>
          <w:sz w:val="22"/>
          <w:szCs w:val="22"/>
        </w:rPr>
        <w:t>Rahul Dipak Patel</w:t>
      </w:r>
    </w:p>
    <w:p w14:paraId="553E258D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A33195">
        <w:rPr>
          <w:rFonts w:asciiTheme="minorHAnsi" w:hAnsiTheme="minorHAnsi" w:cstheme="minorHAnsi"/>
          <w:sz w:val="22"/>
          <w:szCs w:val="22"/>
        </w:rPr>
        <w:t>Department of Psychology, University of Guelph</w:t>
      </w:r>
    </w:p>
    <w:p w14:paraId="4C337B59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A33195">
        <w:rPr>
          <w:rFonts w:asciiTheme="minorHAnsi" w:hAnsiTheme="minorHAnsi" w:cstheme="minorHAnsi"/>
          <w:sz w:val="22"/>
          <w:szCs w:val="22"/>
        </w:rPr>
        <w:t>PSYC 6380: Multivariate Statistics</w:t>
      </w:r>
    </w:p>
    <w:p w14:paraId="6E0FD919" w14:textId="77777777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A33195">
        <w:rPr>
          <w:rFonts w:asciiTheme="minorHAnsi" w:hAnsiTheme="minorHAnsi" w:cstheme="minorHAnsi"/>
          <w:sz w:val="22"/>
          <w:szCs w:val="22"/>
        </w:rPr>
        <w:t>Dr. Cassidy</w:t>
      </w:r>
    </w:p>
    <w:p w14:paraId="71089721" w14:textId="1A799C5F" w:rsidR="000B6AC5" w:rsidRPr="00A33195" w:rsidRDefault="000B6AC5" w:rsidP="00DA7148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A33195">
        <w:rPr>
          <w:rFonts w:asciiTheme="minorHAnsi" w:hAnsiTheme="minorHAnsi" w:cstheme="minorHAnsi"/>
          <w:sz w:val="22"/>
          <w:szCs w:val="22"/>
        </w:rPr>
        <w:t>January 31, 2022</w:t>
      </w:r>
    </w:p>
    <w:p w14:paraId="5F3808F5" w14:textId="33BF3019" w:rsidR="00D129D5" w:rsidRPr="00A33195" w:rsidRDefault="0006311A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48A5022D" w14:textId="7D51630B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36519003" w14:textId="720E9608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349EB408" w14:textId="476D6BF3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4BD32956" w14:textId="7EE59CD5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49BE9A5A" w14:textId="30345C04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63BADFD1" w14:textId="13293104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2E4A22FF" w14:textId="6D2D617B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0101AB84" w14:textId="381D95EF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046EF2D8" w14:textId="6500C568" w:rsidR="000B6AC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69A21599" w14:textId="77777777" w:rsidR="00DA7148" w:rsidRPr="00A33195" w:rsidRDefault="00DA7148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473796D3" w14:textId="77777777" w:rsidR="00B30E33" w:rsidRPr="00A33195" w:rsidRDefault="00B30E33" w:rsidP="00DA7148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A33195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Part 1 </w:t>
      </w:r>
    </w:p>
    <w:p w14:paraId="3AA207CD" w14:textId="77777777" w:rsidR="00B30E33" w:rsidRPr="00A33195" w:rsidRDefault="00B30E33" w:rsidP="00DA7148">
      <w:pPr>
        <w:spacing w:line="48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A33195">
        <w:rPr>
          <w:rFonts w:asciiTheme="minorHAnsi" w:hAnsiTheme="minorHAnsi" w:cstheme="minorHAnsi"/>
          <w:b/>
          <w:bCs/>
          <w:sz w:val="22"/>
          <w:szCs w:val="22"/>
        </w:rPr>
        <w:t xml:space="preserve">Questions </w:t>
      </w:r>
    </w:p>
    <w:p w14:paraId="75121391" w14:textId="77777777" w:rsidR="00B30E33" w:rsidRPr="00A33195" w:rsidRDefault="00B30E33" w:rsidP="00DA7148">
      <w:pPr>
        <w:spacing w:line="480" w:lineRule="auto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A33195">
        <w:rPr>
          <w:rFonts w:asciiTheme="minorHAnsi" w:hAnsiTheme="minorHAnsi" w:cstheme="minorHAnsi"/>
          <w:b/>
          <w:bCs/>
          <w:i/>
          <w:iCs/>
          <w:sz w:val="22"/>
          <w:szCs w:val="22"/>
        </w:rPr>
        <w:t>1</w:t>
      </w:r>
    </w:p>
    <w:p w14:paraId="71577405" w14:textId="606C54E9" w:rsidR="00DA7148" w:rsidRPr="004020E0" w:rsidRDefault="00A3319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020E0">
        <w:rPr>
          <w:rFonts w:asciiTheme="minorHAnsi" w:hAnsiTheme="minorHAnsi" w:cstheme="minorHAnsi"/>
          <w:sz w:val="22"/>
          <w:szCs w:val="22"/>
        </w:rPr>
        <w:t>Multiple squared correlation coefficient: R</w:t>
      </w:r>
      <w:r w:rsidRPr="004020E0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4020E0">
        <w:rPr>
          <w:rFonts w:asciiTheme="minorHAnsi" w:hAnsiTheme="minorHAnsi" w:cstheme="minorHAnsi"/>
          <w:sz w:val="22"/>
          <w:szCs w:val="22"/>
        </w:rPr>
        <w:t xml:space="preserve"> = </w:t>
      </w:r>
      <w:r w:rsidR="00404FAB">
        <w:rPr>
          <w:rFonts w:asciiTheme="minorHAnsi" w:hAnsiTheme="minorHAnsi" w:cstheme="minorHAnsi"/>
          <w:sz w:val="22"/>
          <w:szCs w:val="22"/>
        </w:rPr>
        <w:t>0.</w:t>
      </w:r>
      <w:r w:rsidR="00281927">
        <w:rPr>
          <w:rFonts w:asciiTheme="minorHAnsi" w:hAnsiTheme="minorHAnsi" w:cstheme="minorHAnsi"/>
          <w:sz w:val="22"/>
          <w:szCs w:val="22"/>
        </w:rPr>
        <w:t>80</w:t>
      </w:r>
    </w:p>
    <w:p w14:paraId="128454E2" w14:textId="24B55B2C" w:rsidR="00DA7148" w:rsidRPr="004020E0" w:rsidRDefault="00926591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4020E0">
        <w:rPr>
          <w:rFonts w:asciiTheme="minorHAnsi" w:hAnsiTheme="minorHAnsi" w:cstheme="minorHAnsi"/>
          <w:sz w:val="22"/>
          <w:szCs w:val="22"/>
        </w:rPr>
        <w:t>95% CI around R</w:t>
      </w:r>
      <w:r w:rsidRPr="004020E0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4020E0">
        <w:rPr>
          <w:rFonts w:asciiTheme="minorHAnsi" w:hAnsiTheme="minorHAnsi" w:cstheme="minorHAnsi"/>
          <w:sz w:val="22"/>
          <w:szCs w:val="22"/>
        </w:rPr>
        <w:t>:</w:t>
      </w:r>
      <w:r w:rsidR="00404FAB">
        <w:rPr>
          <w:rFonts w:asciiTheme="minorHAnsi" w:hAnsiTheme="minorHAnsi" w:cstheme="minorHAnsi"/>
          <w:sz w:val="22"/>
          <w:szCs w:val="22"/>
        </w:rPr>
        <w:t xml:space="preserve"> [</w:t>
      </w:r>
      <w:r w:rsidR="00454DBD">
        <w:rPr>
          <w:rFonts w:asciiTheme="minorHAnsi" w:hAnsiTheme="minorHAnsi" w:cstheme="minorHAnsi"/>
          <w:sz w:val="22"/>
          <w:szCs w:val="22"/>
        </w:rPr>
        <w:t>.77, .82]</w:t>
      </w:r>
    </w:p>
    <w:p w14:paraId="12C32955" w14:textId="0F604704" w:rsidR="00BE0C16" w:rsidRPr="00BE0C16" w:rsidRDefault="00A5679D" w:rsidP="00DA7148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BE0C16" w:rsidRPr="00BE0C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Together, trust </w:t>
      </w:r>
      <w:r w:rsidR="008000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risk-taking propensity </w:t>
      </w:r>
      <w:r w:rsidR="00BE0C16" w:rsidRPr="00BE0C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jointly predicted </w:t>
      </w:r>
      <w:r w:rsidR="00281927">
        <w:rPr>
          <w:rFonts w:asciiTheme="minorHAnsi" w:hAnsiTheme="minorHAnsi" w:cstheme="minorHAnsi"/>
          <w:color w:val="000000" w:themeColor="text1"/>
          <w:sz w:val="22"/>
          <w:szCs w:val="22"/>
        </w:rPr>
        <w:t>80</w:t>
      </w:r>
      <w:r w:rsidR="00BE0C16" w:rsidRPr="00BE0C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percent of the variance in participants’ </w:t>
      </w:r>
      <w:r w:rsidR="00BD7249">
        <w:rPr>
          <w:rFonts w:asciiTheme="minorHAnsi" w:hAnsiTheme="minorHAnsi" w:cstheme="minorHAnsi"/>
          <w:color w:val="000000" w:themeColor="text1"/>
          <w:sz w:val="22"/>
          <w:szCs w:val="22"/>
        </w:rPr>
        <w:t>number of helpful behaviours engaged in</w:t>
      </w:r>
      <w:r w:rsidR="00BE0C16" w:rsidRPr="00BE0C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BE0C16" w:rsidRPr="00BE0C16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F</w:t>
      </w:r>
      <w:r w:rsidR="00BE0C16" w:rsidRPr="00BE0C16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="00BD7249">
        <w:rPr>
          <w:rFonts w:asciiTheme="minorHAnsi" w:hAnsiTheme="minorHAnsi" w:cstheme="minorHAnsi"/>
          <w:color w:val="000000" w:themeColor="text1"/>
          <w:sz w:val="22"/>
          <w:szCs w:val="22"/>
        </w:rPr>
        <w:t>2</w:t>
      </w:r>
      <w:r w:rsidR="00BE0C16" w:rsidRPr="00BE0C16">
        <w:rPr>
          <w:rFonts w:asciiTheme="minorHAnsi" w:hAnsiTheme="minorHAnsi" w:cstheme="minorHAnsi"/>
          <w:color w:val="000000" w:themeColor="text1"/>
          <w:sz w:val="22"/>
          <w:szCs w:val="22"/>
        </w:rPr>
        <w:t>, 49</w:t>
      </w:r>
      <w:r w:rsidR="00BD7249">
        <w:rPr>
          <w:rFonts w:asciiTheme="minorHAnsi" w:hAnsiTheme="minorHAnsi" w:cstheme="minorHAnsi"/>
          <w:color w:val="000000" w:themeColor="text1"/>
          <w:sz w:val="22"/>
          <w:szCs w:val="22"/>
        </w:rPr>
        <w:t>7</w:t>
      </w:r>
      <w:r w:rsidR="00BE0C16" w:rsidRPr="00BE0C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= </w:t>
      </w:r>
      <w:r w:rsidR="008551C7">
        <w:rPr>
          <w:rFonts w:asciiTheme="minorHAnsi" w:hAnsiTheme="minorHAnsi" w:cstheme="minorHAnsi"/>
          <w:color w:val="000000" w:themeColor="text1"/>
          <w:sz w:val="22"/>
          <w:szCs w:val="22"/>
        </w:rPr>
        <w:t>961.90</w:t>
      </w:r>
      <w:r w:rsidR="00BE0C16" w:rsidRPr="00BE0C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BE0C16" w:rsidRPr="00BE0C16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p</w:t>
      </w:r>
      <w:r w:rsidR="00BE0C16" w:rsidRPr="00BE0C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 .001, </w:t>
      </w:r>
      <w:r w:rsidR="00BE0C16" w:rsidRPr="00BE0C16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R</w:t>
      </w:r>
      <w:r w:rsidR="00BE0C16" w:rsidRPr="00BE0C16">
        <w:rPr>
          <w:rFonts w:asciiTheme="minorHAnsi" w:hAnsiTheme="minorHAnsi" w:cstheme="minorHAnsi"/>
          <w:i/>
          <w:color w:val="000000" w:themeColor="text1"/>
          <w:sz w:val="22"/>
          <w:szCs w:val="22"/>
          <w:vertAlign w:val="superscript"/>
        </w:rPr>
        <w:t>2</w:t>
      </w:r>
      <w:r w:rsidR="00BE0C16" w:rsidRPr="00BE0C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.</w:t>
      </w:r>
      <w:r w:rsidR="00281927">
        <w:rPr>
          <w:rFonts w:asciiTheme="minorHAnsi" w:hAnsiTheme="minorHAnsi" w:cstheme="minorHAnsi"/>
          <w:color w:val="000000" w:themeColor="text1"/>
          <w:sz w:val="22"/>
          <w:szCs w:val="22"/>
        </w:rPr>
        <w:t>80</w:t>
      </w:r>
      <w:r w:rsidR="00BE0C16" w:rsidRPr="00BE0C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BE0C16" w:rsidRPr="00BE0C16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95% CIs</w:t>
      </w:r>
      <w:r w:rsidR="00BE0C16" w:rsidRPr="00BE0C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E0C16" w:rsidRPr="00BE0C16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=</w:t>
      </w:r>
      <w:r w:rsidR="00BE0C16" w:rsidRPr="00BE0C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[.7</w:t>
      </w:r>
      <w:r w:rsidR="007576F8">
        <w:rPr>
          <w:rFonts w:asciiTheme="minorHAnsi" w:hAnsiTheme="minorHAnsi" w:cstheme="minorHAnsi"/>
          <w:color w:val="000000" w:themeColor="text1"/>
          <w:sz w:val="22"/>
          <w:szCs w:val="22"/>
        </w:rPr>
        <w:t>7</w:t>
      </w:r>
      <w:r w:rsidR="00BE0C16" w:rsidRPr="00BE0C16">
        <w:rPr>
          <w:rFonts w:asciiTheme="minorHAnsi" w:hAnsiTheme="minorHAnsi" w:cstheme="minorHAnsi"/>
          <w:color w:val="000000" w:themeColor="text1"/>
          <w:sz w:val="22"/>
          <w:szCs w:val="22"/>
        </w:rPr>
        <w:t>, .</w:t>
      </w:r>
      <w:r w:rsidR="007576F8">
        <w:rPr>
          <w:rFonts w:asciiTheme="minorHAnsi" w:hAnsiTheme="minorHAnsi" w:cstheme="minorHAnsi"/>
          <w:color w:val="000000" w:themeColor="text1"/>
          <w:sz w:val="22"/>
          <w:szCs w:val="22"/>
        </w:rPr>
        <w:t>82</w:t>
      </w:r>
      <w:r w:rsidR="00BE0C16" w:rsidRPr="00BE0C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]. Examination of the 95 percent confidence intervals around the standardized effect size suggested that trust </w:t>
      </w:r>
      <w:r w:rsidR="007576F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risk-taking propensity </w:t>
      </w:r>
      <w:r w:rsidR="00BE0C16" w:rsidRPr="00BE0C16">
        <w:rPr>
          <w:rFonts w:asciiTheme="minorHAnsi" w:hAnsiTheme="minorHAnsi" w:cstheme="minorHAnsi"/>
          <w:color w:val="000000" w:themeColor="text1"/>
          <w:sz w:val="22"/>
          <w:szCs w:val="22"/>
        </w:rPr>
        <w:t>may plausibly (though not certainly) account for anywhere from 7</w:t>
      </w:r>
      <w:r w:rsidR="007576F8">
        <w:rPr>
          <w:rFonts w:asciiTheme="minorHAnsi" w:hAnsiTheme="minorHAnsi" w:cstheme="minorHAnsi"/>
          <w:color w:val="000000" w:themeColor="text1"/>
          <w:sz w:val="22"/>
          <w:szCs w:val="22"/>
        </w:rPr>
        <w:t>7</w:t>
      </w:r>
      <w:r w:rsidR="00BE0C16" w:rsidRPr="00BE0C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</w:t>
      </w:r>
      <w:r w:rsidR="007576F8">
        <w:rPr>
          <w:rFonts w:asciiTheme="minorHAnsi" w:hAnsiTheme="minorHAnsi" w:cstheme="minorHAnsi"/>
          <w:color w:val="000000" w:themeColor="text1"/>
          <w:sz w:val="22"/>
          <w:szCs w:val="22"/>
        </w:rPr>
        <w:t>82</w:t>
      </w:r>
      <w:r w:rsidR="00BE0C16" w:rsidRPr="00BE0C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percent of the population-level variance in </w:t>
      </w:r>
      <w:r w:rsidR="007576F8">
        <w:rPr>
          <w:rFonts w:asciiTheme="minorHAnsi" w:hAnsiTheme="minorHAnsi" w:cstheme="minorHAnsi"/>
          <w:color w:val="000000" w:themeColor="text1"/>
          <w:sz w:val="22"/>
          <w:szCs w:val="22"/>
        </w:rPr>
        <w:t>the number of helpful behaviours engaged in</w:t>
      </w:r>
      <w:r w:rsidR="00BE0C16" w:rsidRPr="00BE0C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(population-level effect sizes outside this range as possible, but are relatively less probable).</w:t>
      </w:r>
    </w:p>
    <w:p w14:paraId="082F01BE" w14:textId="3FB85F2E" w:rsidR="00877A5F" w:rsidRDefault="00877A5F" w:rsidP="00DA7148">
      <w:pPr>
        <w:spacing w:line="480" w:lineRule="auto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2</w:t>
      </w:r>
    </w:p>
    <w:p w14:paraId="1F282D8C" w14:textId="1E736797" w:rsidR="00877A5F" w:rsidRDefault="00DA7148" w:rsidP="00A5679D">
      <w:pPr>
        <w:spacing w:line="480" w:lineRule="auto"/>
        <w:ind w:firstLine="720"/>
        <w:rPr>
          <w:rFonts w:asciiTheme="minorHAnsi" w:hAnsiTheme="minorHAnsi" w:cstheme="minorHAnsi"/>
          <w:sz w:val="22"/>
          <w:szCs w:val="22"/>
        </w:rPr>
      </w:pPr>
      <w:r w:rsidRPr="00DA7148">
        <w:rPr>
          <w:rFonts w:asciiTheme="minorHAnsi" w:hAnsiTheme="minorHAnsi" w:cstheme="minorHAnsi"/>
          <w:sz w:val="22"/>
          <w:szCs w:val="22"/>
        </w:rPr>
        <w:t xml:space="preserve">Of the predictors, trust </w:t>
      </w:r>
      <w:r>
        <w:rPr>
          <w:rFonts w:asciiTheme="minorHAnsi" w:hAnsiTheme="minorHAnsi" w:cstheme="minorHAnsi"/>
          <w:sz w:val="22"/>
          <w:szCs w:val="22"/>
        </w:rPr>
        <w:t>propensity</w:t>
      </w:r>
      <w:r w:rsidRPr="00DA7148">
        <w:rPr>
          <w:rFonts w:asciiTheme="minorHAnsi" w:hAnsiTheme="minorHAnsi" w:cstheme="minorHAnsi"/>
          <w:sz w:val="22"/>
          <w:szCs w:val="22"/>
        </w:rPr>
        <w:t xml:space="preserve"> was found to plausibly and uniquely predict anywhere between </w:t>
      </w:r>
      <w:r w:rsidR="00355C0E">
        <w:rPr>
          <w:rFonts w:asciiTheme="minorHAnsi" w:hAnsiTheme="minorHAnsi" w:cstheme="minorHAnsi"/>
          <w:sz w:val="22"/>
          <w:szCs w:val="22"/>
        </w:rPr>
        <w:t>38</w:t>
      </w:r>
      <w:r w:rsidRPr="00DA7148">
        <w:rPr>
          <w:rFonts w:asciiTheme="minorHAnsi" w:hAnsiTheme="minorHAnsi" w:cstheme="minorHAnsi"/>
          <w:sz w:val="22"/>
          <w:szCs w:val="22"/>
        </w:rPr>
        <w:t xml:space="preserve"> and </w:t>
      </w:r>
      <w:r w:rsidR="00355C0E">
        <w:rPr>
          <w:rFonts w:asciiTheme="minorHAnsi" w:hAnsiTheme="minorHAnsi" w:cstheme="minorHAnsi"/>
          <w:sz w:val="22"/>
          <w:szCs w:val="22"/>
        </w:rPr>
        <w:t>50</w:t>
      </w:r>
      <w:r w:rsidRPr="00DA7148">
        <w:rPr>
          <w:rFonts w:asciiTheme="minorHAnsi" w:hAnsiTheme="minorHAnsi" w:cstheme="minorHAnsi"/>
          <w:sz w:val="22"/>
          <w:szCs w:val="22"/>
        </w:rPr>
        <w:t xml:space="preserve"> percent of the variance in participants’ </w:t>
      </w:r>
      <w:r>
        <w:rPr>
          <w:rFonts w:asciiTheme="minorHAnsi" w:hAnsiTheme="minorHAnsi" w:cstheme="minorHAnsi"/>
          <w:sz w:val="22"/>
          <w:szCs w:val="22"/>
        </w:rPr>
        <w:t xml:space="preserve">number of helping behaviours committed, </w:t>
      </w:r>
      <w:r w:rsidRPr="00DA7148">
        <w:rPr>
          <w:rFonts w:asciiTheme="minorHAnsi" w:hAnsiTheme="minorHAnsi" w:cstheme="minorHAnsi"/>
          <w:i/>
          <w:iCs/>
          <w:sz w:val="22"/>
          <w:szCs w:val="22"/>
        </w:rPr>
        <w:t>t</w:t>
      </w:r>
      <w:r w:rsidRPr="00DA7148">
        <w:rPr>
          <w:rFonts w:asciiTheme="minorHAnsi" w:hAnsiTheme="minorHAnsi" w:cstheme="minorHAnsi"/>
          <w:sz w:val="22"/>
          <w:szCs w:val="22"/>
        </w:rPr>
        <w:t>(</w:t>
      </w:r>
      <w:r w:rsidR="00B24E15">
        <w:rPr>
          <w:rFonts w:asciiTheme="minorHAnsi" w:hAnsiTheme="minorHAnsi" w:cstheme="minorHAnsi"/>
          <w:sz w:val="22"/>
          <w:szCs w:val="22"/>
        </w:rPr>
        <w:t>497</w:t>
      </w:r>
      <w:r w:rsidRPr="00DA7148">
        <w:rPr>
          <w:rFonts w:asciiTheme="minorHAnsi" w:hAnsiTheme="minorHAnsi" w:cstheme="minorHAnsi"/>
          <w:sz w:val="22"/>
          <w:szCs w:val="22"/>
        </w:rPr>
        <w:t xml:space="preserve">) = </w:t>
      </w:r>
      <w:r w:rsidR="00355C0E">
        <w:rPr>
          <w:rFonts w:asciiTheme="minorHAnsi" w:hAnsiTheme="minorHAnsi" w:cstheme="minorHAnsi"/>
          <w:sz w:val="22"/>
          <w:szCs w:val="22"/>
        </w:rPr>
        <w:t>32.78</w:t>
      </w:r>
      <w:r w:rsidRPr="00DA7148">
        <w:rPr>
          <w:rFonts w:asciiTheme="minorHAnsi" w:hAnsiTheme="minorHAnsi" w:cstheme="minorHAnsi"/>
          <w:sz w:val="22"/>
          <w:szCs w:val="22"/>
        </w:rPr>
        <w:t xml:space="preserve">, </w:t>
      </w:r>
      <w:r w:rsidRPr="00355C0E">
        <w:rPr>
          <w:rFonts w:asciiTheme="minorHAnsi" w:hAnsiTheme="minorHAnsi" w:cstheme="minorHAnsi"/>
          <w:i/>
          <w:iCs/>
          <w:sz w:val="22"/>
          <w:szCs w:val="22"/>
        </w:rPr>
        <w:t>p</w:t>
      </w:r>
      <w:r w:rsidRPr="00DA7148">
        <w:rPr>
          <w:rFonts w:asciiTheme="minorHAnsi" w:hAnsiTheme="minorHAnsi" w:cstheme="minorHAnsi"/>
          <w:sz w:val="22"/>
          <w:szCs w:val="22"/>
        </w:rPr>
        <w:t xml:space="preserve"> &lt; .001, </w:t>
      </w:r>
      <w:r w:rsidRPr="00DA7148">
        <w:rPr>
          <w:rFonts w:asciiTheme="minorHAnsi" w:hAnsiTheme="minorHAnsi" w:cstheme="minorHAnsi"/>
          <w:i/>
          <w:iCs/>
          <w:sz w:val="22"/>
          <w:szCs w:val="22"/>
        </w:rPr>
        <w:t>sr</w:t>
      </w:r>
      <w:r w:rsidRPr="00DA7148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DA7148">
        <w:rPr>
          <w:rFonts w:asciiTheme="minorHAnsi" w:hAnsiTheme="minorHAnsi" w:cstheme="minorHAnsi"/>
          <w:sz w:val="22"/>
          <w:szCs w:val="22"/>
        </w:rPr>
        <w:t xml:space="preserve"> = .</w:t>
      </w:r>
      <w:r w:rsidR="00355C0E">
        <w:rPr>
          <w:rFonts w:asciiTheme="minorHAnsi" w:hAnsiTheme="minorHAnsi" w:cstheme="minorHAnsi"/>
          <w:sz w:val="22"/>
          <w:szCs w:val="22"/>
        </w:rPr>
        <w:t>44</w:t>
      </w:r>
      <w:r w:rsidRPr="00DA7148">
        <w:rPr>
          <w:rFonts w:asciiTheme="minorHAnsi" w:hAnsiTheme="minorHAnsi" w:cstheme="minorHAnsi"/>
          <w:sz w:val="22"/>
          <w:szCs w:val="22"/>
        </w:rPr>
        <w:t xml:space="preserve">, </w:t>
      </w:r>
      <w:r w:rsidRPr="00DA7148">
        <w:rPr>
          <w:rFonts w:asciiTheme="minorHAnsi" w:hAnsiTheme="minorHAnsi" w:cstheme="minorHAnsi"/>
          <w:i/>
          <w:iCs/>
          <w:sz w:val="22"/>
          <w:szCs w:val="22"/>
        </w:rPr>
        <w:t>95% CIs</w:t>
      </w:r>
      <w:r w:rsidRPr="00DA7148">
        <w:rPr>
          <w:rFonts w:asciiTheme="minorHAnsi" w:hAnsiTheme="minorHAnsi" w:cstheme="minorHAnsi"/>
          <w:sz w:val="22"/>
          <w:szCs w:val="22"/>
        </w:rPr>
        <w:t xml:space="preserve"> = [.</w:t>
      </w:r>
      <w:r w:rsidR="00355C0E">
        <w:rPr>
          <w:rFonts w:asciiTheme="minorHAnsi" w:hAnsiTheme="minorHAnsi" w:cstheme="minorHAnsi"/>
          <w:sz w:val="22"/>
          <w:szCs w:val="22"/>
        </w:rPr>
        <w:t>38</w:t>
      </w:r>
      <w:r w:rsidRPr="00DA7148">
        <w:rPr>
          <w:rFonts w:asciiTheme="minorHAnsi" w:hAnsiTheme="minorHAnsi" w:cstheme="minorHAnsi"/>
          <w:sz w:val="22"/>
          <w:szCs w:val="22"/>
        </w:rPr>
        <w:t>, .</w:t>
      </w:r>
      <w:r w:rsidR="00355C0E">
        <w:rPr>
          <w:rFonts w:asciiTheme="minorHAnsi" w:hAnsiTheme="minorHAnsi" w:cstheme="minorHAnsi"/>
          <w:sz w:val="22"/>
          <w:szCs w:val="22"/>
        </w:rPr>
        <w:t>50</w:t>
      </w:r>
      <w:r w:rsidRPr="00DA7148">
        <w:rPr>
          <w:rFonts w:asciiTheme="minorHAnsi" w:hAnsiTheme="minorHAnsi" w:cstheme="minorHAnsi"/>
          <w:sz w:val="22"/>
          <w:szCs w:val="22"/>
        </w:rPr>
        <w:t>],</w:t>
      </w:r>
      <w:r w:rsidRPr="00DA7148">
        <w:rPr>
          <w:rFonts w:asciiTheme="minorHAnsi" w:hAnsiTheme="minorHAnsi" w:cstheme="minorHAnsi"/>
          <w:i/>
          <w:iCs/>
          <w:sz w:val="22"/>
          <w:szCs w:val="22"/>
        </w:rPr>
        <w:t xml:space="preserve"> β</w:t>
      </w:r>
      <w:r w:rsidRPr="00DA7148">
        <w:rPr>
          <w:rFonts w:asciiTheme="minorHAnsi" w:hAnsiTheme="minorHAnsi" w:cstheme="minorHAnsi"/>
          <w:sz w:val="22"/>
          <w:szCs w:val="22"/>
        </w:rPr>
        <w:t xml:space="preserve"> = 0.</w:t>
      </w:r>
      <w:r w:rsidR="00745C2B">
        <w:rPr>
          <w:rFonts w:asciiTheme="minorHAnsi" w:hAnsiTheme="minorHAnsi" w:cstheme="minorHAnsi"/>
          <w:sz w:val="22"/>
          <w:szCs w:val="22"/>
        </w:rPr>
        <w:t>67</w:t>
      </w:r>
      <w:r w:rsidRPr="00DA7148">
        <w:rPr>
          <w:rFonts w:asciiTheme="minorHAnsi" w:hAnsiTheme="minorHAnsi" w:cstheme="minorHAnsi"/>
          <w:sz w:val="22"/>
          <w:szCs w:val="22"/>
        </w:rPr>
        <w:t xml:space="preserve">, </w:t>
      </w:r>
      <w:r w:rsidRPr="00DA7148">
        <w:rPr>
          <w:rFonts w:asciiTheme="minorHAnsi" w:hAnsiTheme="minorHAnsi" w:cstheme="minorHAnsi"/>
          <w:i/>
          <w:iCs/>
          <w:sz w:val="22"/>
          <w:szCs w:val="22"/>
        </w:rPr>
        <w:t>95% CIs</w:t>
      </w:r>
      <w:r w:rsidRPr="00DA7148">
        <w:rPr>
          <w:rFonts w:asciiTheme="minorHAnsi" w:hAnsiTheme="minorHAnsi" w:cstheme="minorHAnsi"/>
          <w:sz w:val="22"/>
          <w:szCs w:val="22"/>
        </w:rPr>
        <w:t xml:space="preserve"> = [0.</w:t>
      </w:r>
      <w:r w:rsidR="00745C2B">
        <w:rPr>
          <w:rFonts w:asciiTheme="minorHAnsi" w:hAnsiTheme="minorHAnsi" w:cstheme="minorHAnsi"/>
          <w:sz w:val="22"/>
          <w:szCs w:val="22"/>
        </w:rPr>
        <w:t>63</w:t>
      </w:r>
      <w:r w:rsidRPr="00DA7148">
        <w:rPr>
          <w:rFonts w:asciiTheme="minorHAnsi" w:hAnsiTheme="minorHAnsi" w:cstheme="minorHAnsi"/>
          <w:sz w:val="22"/>
          <w:szCs w:val="22"/>
        </w:rPr>
        <w:t>, 0.</w:t>
      </w:r>
      <w:r w:rsidR="00745C2B">
        <w:rPr>
          <w:rFonts w:asciiTheme="minorHAnsi" w:hAnsiTheme="minorHAnsi" w:cstheme="minorHAnsi"/>
          <w:sz w:val="22"/>
          <w:szCs w:val="22"/>
        </w:rPr>
        <w:t>71</w:t>
      </w:r>
      <w:r w:rsidRPr="00DA7148">
        <w:rPr>
          <w:rFonts w:asciiTheme="minorHAnsi" w:hAnsiTheme="minorHAnsi" w:cstheme="minorHAnsi"/>
          <w:sz w:val="22"/>
          <w:szCs w:val="22"/>
        </w:rPr>
        <w:t>]</w:t>
      </w:r>
      <w:r w:rsidR="00745C2B">
        <w:rPr>
          <w:rFonts w:asciiTheme="minorHAnsi" w:hAnsiTheme="minorHAnsi" w:cstheme="minorHAnsi"/>
          <w:sz w:val="22"/>
          <w:szCs w:val="22"/>
        </w:rPr>
        <w:t>.</w:t>
      </w:r>
      <w:r w:rsidR="003E3135">
        <w:rPr>
          <w:rFonts w:asciiTheme="minorHAnsi" w:hAnsiTheme="minorHAnsi" w:cstheme="minorHAnsi"/>
          <w:sz w:val="22"/>
          <w:szCs w:val="22"/>
        </w:rPr>
        <w:t xml:space="preserve"> </w:t>
      </w:r>
      <w:r w:rsidR="003E3135" w:rsidRPr="00DA7148">
        <w:rPr>
          <w:rFonts w:asciiTheme="minorHAnsi" w:hAnsiTheme="minorHAnsi" w:cstheme="minorHAnsi"/>
          <w:i/>
          <w:iCs/>
          <w:sz w:val="22"/>
          <w:szCs w:val="22"/>
        </w:rPr>
        <w:t>β</w:t>
      </w:r>
      <w:r w:rsidR="003E3135" w:rsidRPr="00DA7148">
        <w:rPr>
          <w:rFonts w:asciiTheme="minorHAnsi" w:hAnsiTheme="minorHAnsi" w:cstheme="minorHAnsi"/>
          <w:sz w:val="22"/>
          <w:szCs w:val="22"/>
        </w:rPr>
        <w:t xml:space="preserve"> = 0.</w:t>
      </w:r>
      <w:r w:rsidR="003E3135">
        <w:rPr>
          <w:rFonts w:asciiTheme="minorHAnsi" w:hAnsiTheme="minorHAnsi" w:cstheme="minorHAnsi"/>
          <w:sz w:val="22"/>
          <w:szCs w:val="22"/>
        </w:rPr>
        <w:t xml:space="preserve">67, the standardized </w:t>
      </w:r>
      <w:r w:rsidR="004C534B">
        <w:rPr>
          <w:rFonts w:asciiTheme="minorHAnsi" w:hAnsiTheme="minorHAnsi" w:cstheme="minorHAnsi"/>
          <w:sz w:val="22"/>
          <w:szCs w:val="22"/>
        </w:rPr>
        <w:t xml:space="preserve">partial slope for trust propensity, can be interpreted as such: </w:t>
      </w:r>
      <w:commentRangeStart w:id="0"/>
      <w:r w:rsidR="004C534B">
        <w:rPr>
          <w:rFonts w:asciiTheme="minorHAnsi" w:hAnsiTheme="minorHAnsi" w:cstheme="minorHAnsi"/>
          <w:sz w:val="22"/>
          <w:szCs w:val="22"/>
        </w:rPr>
        <w:t xml:space="preserve">for every one standard deviation increase in trust propensity, the number of helping behaviours engaged in increases by one standard deviation, holding the effects of </w:t>
      </w:r>
      <w:r w:rsidR="00B93977">
        <w:rPr>
          <w:rFonts w:asciiTheme="minorHAnsi" w:hAnsiTheme="minorHAnsi" w:cstheme="minorHAnsi"/>
          <w:sz w:val="22"/>
          <w:szCs w:val="22"/>
        </w:rPr>
        <w:t>risk-taking propensity</w:t>
      </w:r>
      <w:r w:rsidR="004C534B">
        <w:rPr>
          <w:rFonts w:asciiTheme="minorHAnsi" w:hAnsiTheme="minorHAnsi" w:cstheme="minorHAnsi"/>
          <w:sz w:val="22"/>
          <w:szCs w:val="22"/>
        </w:rPr>
        <w:t xml:space="preserve"> constant. </w:t>
      </w:r>
      <w:commentRangeEnd w:id="0"/>
      <w:r w:rsidR="00F654E0">
        <w:rPr>
          <w:rStyle w:val="CommentReference"/>
        </w:rPr>
        <w:commentReference w:id="0"/>
      </w:r>
    </w:p>
    <w:p w14:paraId="7739318A" w14:textId="2DEDC5FF" w:rsidR="00173408" w:rsidRDefault="00393908" w:rsidP="00173408">
      <w:pPr>
        <w:spacing w:line="480" w:lineRule="auto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3</w:t>
      </w:r>
    </w:p>
    <w:p w14:paraId="5B3FBAB0" w14:textId="1B6FF855" w:rsidR="00F154CA" w:rsidRDefault="00A5679D" w:rsidP="00B04A28">
      <w:pPr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 w:rsidR="003E0139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There was also evidence for a statistically-significant interaction between trust and </w:t>
      </w:r>
      <w:r w:rsidR="00B93977" w:rsidRPr="00B93977">
        <w:rPr>
          <w:rFonts w:ascii="Calibri" w:hAnsi="Calibri" w:cs="Calibri"/>
          <w:color w:val="000000" w:themeColor="text1"/>
          <w:sz w:val="22"/>
          <w:szCs w:val="22"/>
        </w:rPr>
        <w:t>risk-taking propensity</w:t>
      </w:r>
      <w:r w:rsidR="003E0139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in predicting number of helpful behaviours engaged in. Specifically, the trust*risk interaction term may have plausibly and uniquely predicted between </w:t>
      </w:r>
      <w:r w:rsidR="00DF2044" w:rsidRPr="00B93977">
        <w:rPr>
          <w:rFonts w:ascii="Calibri" w:hAnsi="Calibri" w:cs="Calibri"/>
          <w:color w:val="000000" w:themeColor="text1"/>
          <w:sz w:val="22"/>
          <w:szCs w:val="22"/>
        </w:rPr>
        <w:t>zero</w:t>
      </w:r>
      <w:r w:rsidR="003E0139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="00DF2044" w:rsidRPr="00B93977">
        <w:rPr>
          <w:rFonts w:ascii="Calibri" w:hAnsi="Calibri" w:cs="Calibri"/>
          <w:color w:val="000000" w:themeColor="text1"/>
          <w:sz w:val="22"/>
          <w:szCs w:val="22"/>
        </w:rPr>
        <w:t>two</w:t>
      </w:r>
      <w:r w:rsidR="003E0139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percent of the variance in helping </w:t>
      </w:r>
      <w:r w:rsidR="003E0139" w:rsidRPr="00B93977">
        <w:rPr>
          <w:rFonts w:ascii="Calibri" w:hAnsi="Calibri" w:cs="Calibri"/>
          <w:i/>
          <w:color w:val="000000" w:themeColor="text1"/>
          <w:sz w:val="22"/>
          <w:szCs w:val="22"/>
        </w:rPr>
        <w:t>t</w:t>
      </w:r>
      <w:r w:rsidR="003E0139" w:rsidRPr="00B93977">
        <w:rPr>
          <w:rFonts w:ascii="Calibri" w:hAnsi="Calibri" w:cs="Calibri"/>
          <w:color w:val="000000" w:themeColor="text1"/>
          <w:sz w:val="22"/>
          <w:szCs w:val="22"/>
        </w:rPr>
        <w:t>(49</w:t>
      </w:r>
      <w:r w:rsidR="008C69B9" w:rsidRPr="00B93977">
        <w:rPr>
          <w:rFonts w:ascii="Calibri" w:hAnsi="Calibri" w:cs="Calibri"/>
          <w:color w:val="000000" w:themeColor="text1"/>
          <w:sz w:val="22"/>
          <w:szCs w:val="22"/>
        </w:rPr>
        <w:t>6</w:t>
      </w:r>
      <w:r w:rsidR="003E0139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) = </w:t>
      </w:r>
      <w:r w:rsidR="008C69B9" w:rsidRPr="00B93977">
        <w:rPr>
          <w:rFonts w:ascii="Calibri" w:hAnsi="Calibri" w:cs="Calibri"/>
          <w:color w:val="000000" w:themeColor="text1"/>
          <w:sz w:val="22"/>
          <w:szCs w:val="22"/>
        </w:rPr>
        <w:t>5.91</w:t>
      </w:r>
      <w:r w:rsidR="003E0139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3E0139" w:rsidRPr="00B93977">
        <w:rPr>
          <w:rFonts w:ascii="Calibri" w:hAnsi="Calibri" w:cs="Calibri"/>
          <w:i/>
          <w:color w:val="000000" w:themeColor="text1"/>
          <w:sz w:val="22"/>
          <w:szCs w:val="22"/>
        </w:rPr>
        <w:t>p</w:t>
      </w:r>
      <w:r w:rsidR="003E0139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&lt; .0</w:t>
      </w:r>
      <w:r w:rsidR="0092592F">
        <w:rPr>
          <w:rFonts w:ascii="Calibri" w:hAnsi="Calibri" w:cs="Calibri"/>
          <w:color w:val="000000" w:themeColor="text1"/>
          <w:sz w:val="22"/>
          <w:szCs w:val="22"/>
        </w:rPr>
        <w:t>0</w:t>
      </w:r>
      <w:r w:rsidR="00326BB3">
        <w:rPr>
          <w:rFonts w:ascii="Calibri" w:hAnsi="Calibri" w:cs="Calibri"/>
          <w:color w:val="000000" w:themeColor="text1"/>
          <w:sz w:val="22"/>
          <w:szCs w:val="22"/>
        </w:rPr>
        <w:t>1</w:t>
      </w:r>
      <w:r w:rsidR="003E0139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3E0139" w:rsidRPr="00B93977">
        <w:rPr>
          <w:rFonts w:ascii="Calibri" w:hAnsi="Calibri" w:cs="Calibri"/>
          <w:i/>
          <w:color w:val="000000" w:themeColor="text1"/>
          <w:sz w:val="22"/>
          <w:szCs w:val="22"/>
        </w:rPr>
        <w:t>sr</w:t>
      </w:r>
      <w:r w:rsidR="003E0139" w:rsidRPr="00B93977">
        <w:rPr>
          <w:rFonts w:ascii="Calibri" w:hAnsi="Calibri" w:cs="Calibri"/>
          <w:i/>
          <w:color w:val="000000" w:themeColor="text1"/>
          <w:sz w:val="22"/>
          <w:szCs w:val="22"/>
          <w:vertAlign w:val="superscript"/>
        </w:rPr>
        <w:t>2</w:t>
      </w:r>
      <w:r w:rsidR="003E0139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= .0</w:t>
      </w:r>
      <w:r w:rsidR="00091113" w:rsidRPr="00B93977">
        <w:rPr>
          <w:rFonts w:ascii="Calibri" w:hAnsi="Calibri" w:cs="Calibri"/>
          <w:color w:val="000000" w:themeColor="text1"/>
          <w:sz w:val="22"/>
          <w:szCs w:val="22"/>
        </w:rPr>
        <w:t>1</w:t>
      </w:r>
      <w:r w:rsidR="003E0139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3E0139" w:rsidRPr="00B93977">
        <w:rPr>
          <w:rFonts w:ascii="Calibri" w:hAnsi="Calibri" w:cs="Calibri"/>
          <w:i/>
          <w:color w:val="000000" w:themeColor="text1"/>
          <w:sz w:val="22"/>
          <w:szCs w:val="22"/>
        </w:rPr>
        <w:t>95% CIs</w:t>
      </w:r>
      <w:r w:rsidR="003E0139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3E0139" w:rsidRPr="00B93977">
        <w:rPr>
          <w:rFonts w:ascii="Calibri" w:hAnsi="Calibri" w:cs="Calibri"/>
          <w:i/>
          <w:color w:val="000000" w:themeColor="text1"/>
          <w:sz w:val="22"/>
          <w:szCs w:val="22"/>
        </w:rPr>
        <w:t>=</w:t>
      </w:r>
      <w:r w:rsidR="003E0139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[.0</w:t>
      </w:r>
      <w:r w:rsidR="00091113" w:rsidRPr="00B93977">
        <w:rPr>
          <w:rFonts w:ascii="Calibri" w:hAnsi="Calibri" w:cs="Calibri"/>
          <w:color w:val="000000" w:themeColor="text1"/>
          <w:sz w:val="22"/>
          <w:szCs w:val="22"/>
        </w:rPr>
        <w:t>0</w:t>
      </w:r>
      <w:r w:rsidR="003E0139" w:rsidRPr="00B93977">
        <w:rPr>
          <w:rFonts w:ascii="Calibri" w:hAnsi="Calibri" w:cs="Calibri"/>
          <w:color w:val="000000" w:themeColor="text1"/>
          <w:sz w:val="22"/>
          <w:szCs w:val="22"/>
        </w:rPr>
        <w:t>, .0</w:t>
      </w:r>
      <w:r w:rsidR="00091113" w:rsidRPr="00B93977">
        <w:rPr>
          <w:rFonts w:ascii="Calibri" w:hAnsi="Calibri" w:cs="Calibri"/>
          <w:color w:val="000000" w:themeColor="text1"/>
          <w:sz w:val="22"/>
          <w:szCs w:val="22"/>
        </w:rPr>
        <w:t>2</w:t>
      </w:r>
      <w:r w:rsidR="003E0139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], </w:t>
      </w:r>
      <w:r w:rsidR="003E0139" w:rsidRPr="00B93977">
        <w:rPr>
          <w:rFonts w:ascii="Calibri" w:hAnsi="Calibri" w:cs="Calibri"/>
          <w:i/>
          <w:color w:val="000000" w:themeColor="text1"/>
          <w:sz w:val="22"/>
          <w:szCs w:val="22"/>
        </w:rPr>
        <w:t>β</w:t>
      </w:r>
      <w:r w:rsidR="003E0139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= 0.1</w:t>
      </w:r>
      <w:r w:rsidR="00091113" w:rsidRPr="00B93977">
        <w:rPr>
          <w:rFonts w:ascii="Calibri" w:hAnsi="Calibri" w:cs="Calibri"/>
          <w:color w:val="000000" w:themeColor="text1"/>
          <w:sz w:val="22"/>
          <w:szCs w:val="22"/>
        </w:rPr>
        <w:t>2</w:t>
      </w:r>
      <w:r w:rsidR="003E0139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3E0139" w:rsidRPr="00B93977">
        <w:rPr>
          <w:rFonts w:ascii="Calibri" w:hAnsi="Calibri" w:cs="Calibri"/>
          <w:i/>
          <w:color w:val="000000" w:themeColor="text1"/>
          <w:sz w:val="22"/>
          <w:szCs w:val="22"/>
        </w:rPr>
        <w:t>95% CIs</w:t>
      </w:r>
      <w:r w:rsidR="003E0139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3E0139" w:rsidRPr="00B93977">
        <w:rPr>
          <w:rFonts w:ascii="Calibri" w:hAnsi="Calibri" w:cs="Calibri"/>
          <w:i/>
          <w:color w:val="000000" w:themeColor="text1"/>
          <w:sz w:val="22"/>
          <w:szCs w:val="22"/>
        </w:rPr>
        <w:t>=</w:t>
      </w:r>
      <w:r w:rsidR="003E0139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[0.</w:t>
      </w:r>
      <w:r w:rsidR="00602F23" w:rsidRPr="00B93977">
        <w:rPr>
          <w:rFonts w:ascii="Calibri" w:hAnsi="Calibri" w:cs="Calibri"/>
          <w:color w:val="000000" w:themeColor="text1"/>
          <w:sz w:val="22"/>
          <w:szCs w:val="22"/>
        </w:rPr>
        <w:t>08</w:t>
      </w:r>
      <w:r w:rsidR="003E0139" w:rsidRPr="00B93977">
        <w:rPr>
          <w:rFonts w:ascii="Calibri" w:hAnsi="Calibri" w:cs="Calibri"/>
          <w:color w:val="000000" w:themeColor="text1"/>
          <w:sz w:val="22"/>
          <w:szCs w:val="22"/>
        </w:rPr>
        <w:t>, 0.</w:t>
      </w:r>
      <w:r w:rsidR="00602F23" w:rsidRPr="00B93977">
        <w:rPr>
          <w:rFonts w:ascii="Calibri" w:hAnsi="Calibri" w:cs="Calibri"/>
          <w:color w:val="000000" w:themeColor="text1"/>
          <w:sz w:val="22"/>
          <w:szCs w:val="22"/>
        </w:rPr>
        <w:t>16</w:t>
      </w:r>
      <w:r w:rsidR="003E0139" w:rsidRPr="00B93977">
        <w:rPr>
          <w:rFonts w:ascii="Calibri" w:hAnsi="Calibri" w:cs="Calibri"/>
          <w:color w:val="000000" w:themeColor="text1"/>
          <w:sz w:val="22"/>
          <w:szCs w:val="22"/>
        </w:rPr>
        <w:t>].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D13AB4">
        <w:rPr>
          <w:rFonts w:ascii="Calibri" w:hAnsi="Calibri" w:cs="Calibri"/>
          <w:color w:val="000000" w:themeColor="text1"/>
          <w:sz w:val="22"/>
          <w:szCs w:val="22"/>
        </w:rPr>
        <w:t xml:space="preserve">Accordingly, the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statistically </w:t>
      </w:r>
      <w:r w:rsidR="00D13AB4">
        <w:rPr>
          <w:rFonts w:ascii="Calibri" w:hAnsi="Calibri" w:cs="Calibri"/>
          <w:color w:val="000000" w:themeColor="text1"/>
          <w:sz w:val="22"/>
          <w:szCs w:val="22"/>
        </w:rPr>
        <w:t xml:space="preserve">significant interaction term suggests that moderation may be present. </w:t>
      </w:r>
    </w:p>
    <w:p w14:paraId="425541CD" w14:textId="5E72EB47" w:rsidR="00F154CA" w:rsidRPr="00F154CA" w:rsidRDefault="00E879DA" w:rsidP="00F154CA">
      <w:pPr>
        <w:spacing w:line="480" w:lineRule="auto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lastRenderedPageBreak/>
        <w:t>4</w:t>
      </w:r>
    </w:p>
    <w:p w14:paraId="152F9311" w14:textId="016032C2" w:rsidR="00B04A28" w:rsidRDefault="00A5679D" w:rsidP="00B04A28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To further explore this interaction, the relation between </w:t>
      </w:r>
      <w:r w:rsidR="005A5C3A">
        <w:rPr>
          <w:rFonts w:ascii="Calibri" w:hAnsi="Calibri" w:cs="Calibri"/>
          <w:color w:val="000000" w:themeColor="text1"/>
          <w:sz w:val="22"/>
          <w:szCs w:val="22"/>
        </w:rPr>
        <w:t xml:space="preserve">trust 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propensity </w:t>
      </w:r>
      <w:r w:rsidR="00B93977">
        <w:rPr>
          <w:rFonts w:ascii="Calibri" w:hAnsi="Calibri" w:cs="Calibri"/>
          <w:color w:val="000000" w:themeColor="text1"/>
          <w:sz w:val="22"/>
          <w:szCs w:val="22"/>
        </w:rPr>
        <w:t>and number of helping behaviours engaged in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was examined at both low (i.e., one standard deviation below the mean) and high (i.e., one standard deviation above the mean) levels of </w:t>
      </w:r>
      <w:r w:rsidR="005A5C3A">
        <w:rPr>
          <w:rFonts w:ascii="Calibri" w:hAnsi="Calibri" w:cs="Calibri"/>
          <w:color w:val="000000" w:themeColor="text1"/>
          <w:sz w:val="22"/>
          <w:szCs w:val="22"/>
        </w:rPr>
        <w:t>risk-taking propensity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. At “high” (i.e., plus one standard deviation) levels of </w:t>
      </w:r>
      <w:r w:rsidR="005A5C3A">
        <w:rPr>
          <w:rFonts w:ascii="Calibri" w:hAnsi="Calibri" w:cs="Calibri"/>
          <w:color w:val="000000" w:themeColor="text1"/>
          <w:sz w:val="22"/>
          <w:szCs w:val="22"/>
        </w:rPr>
        <w:t>risk-taking propensity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>, trust</w:t>
      </w:r>
      <w:r w:rsidR="005A5C3A">
        <w:rPr>
          <w:rFonts w:ascii="Calibri" w:hAnsi="Calibri" w:cs="Calibri"/>
          <w:color w:val="000000" w:themeColor="text1"/>
          <w:sz w:val="22"/>
          <w:szCs w:val="22"/>
        </w:rPr>
        <w:t xml:space="preserve"> propensity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was found to plausibly predict between </w:t>
      </w:r>
      <w:r w:rsidR="009829F6">
        <w:rPr>
          <w:rFonts w:ascii="Calibri" w:hAnsi="Calibri" w:cs="Calibri"/>
          <w:color w:val="000000" w:themeColor="text1"/>
          <w:sz w:val="22"/>
          <w:szCs w:val="22"/>
        </w:rPr>
        <w:t>27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="009829F6">
        <w:rPr>
          <w:rFonts w:ascii="Calibri" w:hAnsi="Calibri" w:cs="Calibri"/>
          <w:color w:val="000000" w:themeColor="text1"/>
          <w:sz w:val="22"/>
          <w:szCs w:val="22"/>
        </w:rPr>
        <w:t>38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percent of the variance in </w:t>
      </w:r>
      <w:r w:rsidR="005A5C3A">
        <w:rPr>
          <w:rFonts w:ascii="Calibri" w:hAnsi="Calibri" w:cs="Calibri"/>
          <w:color w:val="000000" w:themeColor="text1"/>
          <w:sz w:val="22"/>
          <w:szCs w:val="22"/>
        </w:rPr>
        <w:t xml:space="preserve">the number of helping behaviours engaged in, </w:t>
      </w:r>
      <w:r w:rsidR="005728ED" w:rsidRPr="00B93977">
        <w:rPr>
          <w:rFonts w:ascii="Calibri" w:hAnsi="Calibri" w:cs="Calibri"/>
          <w:i/>
          <w:color w:val="000000" w:themeColor="text1"/>
          <w:sz w:val="22"/>
          <w:szCs w:val="22"/>
        </w:rPr>
        <w:t>t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(496) = </w:t>
      </w:r>
      <w:r w:rsidR="00C8358E">
        <w:rPr>
          <w:rFonts w:ascii="Calibri" w:hAnsi="Calibri" w:cs="Calibri"/>
          <w:color w:val="000000" w:themeColor="text1"/>
          <w:sz w:val="22"/>
          <w:szCs w:val="22"/>
        </w:rPr>
        <w:t>29.134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5728ED" w:rsidRPr="00B93977">
        <w:rPr>
          <w:rFonts w:ascii="Calibri" w:hAnsi="Calibri" w:cs="Calibri"/>
          <w:i/>
          <w:color w:val="000000" w:themeColor="text1"/>
          <w:sz w:val="22"/>
          <w:szCs w:val="22"/>
        </w:rPr>
        <w:t>p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&lt; .001, </w:t>
      </w:r>
      <w:r w:rsidR="005728ED" w:rsidRPr="00B93977">
        <w:rPr>
          <w:rFonts w:ascii="Calibri" w:hAnsi="Calibri" w:cs="Calibri"/>
          <w:i/>
          <w:color w:val="000000" w:themeColor="text1"/>
          <w:sz w:val="22"/>
          <w:szCs w:val="22"/>
        </w:rPr>
        <w:t>sr</w:t>
      </w:r>
      <w:r w:rsidR="005728ED" w:rsidRPr="00B93977">
        <w:rPr>
          <w:rFonts w:ascii="Calibri" w:hAnsi="Calibri" w:cs="Calibri"/>
          <w:i/>
          <w:color w:val="000000" w:themeColor="text1"/>
          <w:sz w:val="22"/>
          <w:szCs w:val="22"/>
          <w:vertAlign w:val="superscript"/>
        </w:rPr>
        <w:t>2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= .</w:t>
      </w:r>
      <w:r w:rsidR="00C8358E">
        <w:rPr>
          <w:rFonts w:ascii="Calibri" w:hAnsi="Calibri" w:cs="Calibri"/>
          <w:color w:val="000000" w:themeColor="text1"/>
          <w:sz w:val="22"/>
          <w:szCs w:val="22"/>
        </w:rPr>
        <w:t>33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5728ED" w:rsidRPr="00B93977">
        <w:rPr>
          <w:rFonts w:ascii="Calibri" w:hAnsi="Calibri" w:cs="Calibri"/>
          <w:i/>
          <w:color w:val="000000" w:themeColor="text1"/>
          <w:sz w:val="22"/>
          <w:szCs w:val="22"/>
        </w:rPr>
        <w:t>95% CIs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5728ED" w:rsidRPr="00B93977">
        <w:rPr>
          <w:rFonts w:ascii="Calibri" w:hAnsi="Calibri" w:cs="Calibri"/>
          <w:i/>
          <w:color w:val="000000" w:themeColor="text1"/>
          <w:sz w:val="22"/>
          <w:szCs w:val="22"/>
        </w:rPr>
        <w:t>=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[.</w:t>
      </w:r>
      <w:r w:rsidR="00C8358E">
        <w:rPr>
          <w:rFonts w:ascii="Calibri" w:hAnsi="Calibri" w:cs="Calibri"/>
          <w:color w:val="000000" w:themeColor="text1"/>
          <w:sz w:val="22"/>
          <w:szCs w:val="22"/>
        </w:rPr>
        <w:t>27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>, .</w:t>
      </w:r>
      <w:r w:rsidR="00C8358E">
        <w:rPr>
          <w:rFonts w:ascii="Calibri" w:hAnsi="Calibri" w:cs="Calibri"/>
          <w:color w:val="000000" w:themeColor="text1"/>
          <w:sz w:val="22"/>
          <w:szCs w:val="22"/>
        </w:rPr>
        <w:t>38</w:t>
      </w:r>
      <w:r w:rsidR="005728ED" w:rsidRPr="00E54EC4">
        <w:rPr>
          <w:rFonts w:ascii="Calibri" w:hAnsi="Calibri" w:cs="Calibri"/>
          <w:color w:val="000000" w:themeColor="text1"/>
          <w:sz w:val="22"/>
          <w:szCs w:val="22"/>
          <w:highlight w:val="yellow"/>
        </w:rPr>
        <w:t xml:space="preserve">], </w:t>
      </w:r>
      <w:r w:rsidR="005728ED" w:rsidRPr="00E54EC4">
        <w:rPr>
          <w:rFonts w:ascii="Calibri" w:hAnsi="Calibri" w:cs="Calibri"/>
          <w:i/>
          <w:color w:val="000000" w:themeColor="text1"/>
          <w:sz w:val="22"/>
          <w:szCs w:val="22"/>
          <w:highlight w:val="yellow"/>
        </w:rPr>
        <w:t>β</w:t>
      </w:r>
      <w:r w:rsidR="005728ED" w:rsidRPr="00E54EC4">
        <w:rPr>
          <w:rFonts w:ascii="Calibri" w:hAnsi="Calibri" w:cs="Calibri"/>
          <w:color w:val="000000" w:themeColor="text1"/>
          <w:sz w:val="22"/>
          <w:szCs w:val="22"/>
          <w:highlight w:val="yellow"/>
        </w:rPr>
        <w:t xml:space="preserve"> = 0.</w:t>
      </w:r>
      <w:r w:rsidR="00EA4081" w:rsidRPr="00E54EC4">
        <w:rPr>
          <w:rFonts w:ascii="Calibri" w:hAnsi="Calibri" w:cs="Calibri"/>
          <w:color w:val="000000" w:themeColor="text1"/>
          <w:sz w:val="22"/>
          <w:szCs w:val="22"/>
          <w:highlight w:val="yellow"/>
        </w:rPr>
        <w:t>77</w:t>
      </w:r>
      <w:r w:rsidR="005728ED" w:rsidRPr="00E54EC4">
        <w:rPr>
          <w:rFonts w:ascii="Calibri" w:hAnsi="Calibri" w:cs="Calibri"/>
          <w:color w:val="000000" w:themeColor="text1"/>
          <w:sz w:val="22"/>
          <w:szCs w:val="22"/>
          <w:highlight w:val="yellow"/>
        </w:rPr>
        <w:t>,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5728ED" w:rsidRPr="00B93977">
        <w:rPr>
          <w:rFonts w:ascii="Calibri" w:hAnsi="Calibri" w:cs="Calibri"/>
          <w:i/>
          <w:color w:val="000000" w:themeColor="text1"/>
          <w:sz w:val="22"/>
          <w:szCs w:val="22"/>
        </w:rPr>
        <w:t>95% CIs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5728ED" w:rsidRPr="00B93977">
        <w:rPr>
          <w:rFonts w:ascii="Calibri" w:hAnsi="Calibri" w:cs="Calibri"/>
          <w:i/>
          <w:color w:val="000000" w:themeColor="text1"/>
          <w:sz w:val="22"/>
          <w:szCs w:val="22"/>
        </w:rPr>
        <w:t>=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[0.</w:t>
      </w:r>
      <w:r w:rsidR="00EA4081">
        <w:rPr>
          <w:rFonts w:ascii="Calibri" w:hAnsi="Calibri" w:cs="Calibri"/>
          <w:color w:val="000000" w:themeColor="text1"/>
          <w:sz w:val="22"/>
          <w:szCs w:val="22"/>
        </w:rPr>
        <w:t>72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>, 0.</w:t>
      </w:r>
      <w:r w:rsidR="00EA4081">
        <w:rPr>
          <w:rFonts w:ascii="Calibri" w:hAnsi="Calibri" w:cs="Calibri"/>
          <w:color w:val="000000" w:themeColor="text1"/>
          <w:sz w:val="22"/>
          <w:szCs w:val="22"/>
        </w:rPr>
        <w:t>8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2]. Inspection of the 95 percent confidence intervals around the standardized slope coefficient suggested that, when </w:t>
      </w:r>
      <w:r w:rsidR="005A5C3A">
        <w:rPr>
          <w:rFonts w:ascii="Calibri" w:hAnsi="Calibri" w:cs="Calibri"/>
          <w:color w:val="000000" w:themeColor="text1"/>
          <w:sz w:val="22"/>
          <w:szCs w:val="22"/>
        </w:rPr>
        <w:t>risk-taking propensity</w:t>
      </w:r>
      <w:r w:rsidR="005A5C3A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was high, every one standard deviation unit increase in </w:t>
      </w:r>
      <w:r w:rsidR="005A5C3A">
        <w:rPr>
          <w:rFonts w:ascii="Calibri" w:hAnsi="Calibri" w:cs="Calibri"/>
          <w:color w:val="000000" w:themeColor="text1"/>
          <w:sz w:val="22"/>
          <w:szCs w:val="22"/>
        </w:rPr>
        <w:t xml:space="preserve">trust </w:t>
      </w:r>
      <w:r w:rsidR="005A5C3A" w:rsidRPr="00B93977">
        <w:rPr>
          <w:rFonts w:ascii="Calibri" w:hAnsi="Calibri" w:cs="Calibri"/>
          <w:color w:val="000000" w:themeColor="text1"/>
          <w:sz w:val="22"/>
          <w:szCs w:val="22"/>
        </w:rPr>
        <w:t>propensity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could plausibly predict between a 0.</w:t>
      </w:r>
      <w:r w:rsidR="00B21C38">
        <w:rPr>
          <w:rFonts w:ascii="Calibri" w:hAnsi="Calibri" w:cs="Calibri"/>
          <w:color w:val="000000" w:themeColor="text1"/>
          <w:sz w:val="22"/>
          <w:szCs w:val="22"/>
        </w:rPr>
        <w:t>72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and a 0.</w:t>
      </w:r>
      <w:r w:rsidR="00B21C38">
        <w:rPr>
          <w:rFonts w:ascii="Calibri" w:hAnsi="Calibri" w:cs="Calibri"/>
          <w:color w:val="000000" w:themeColor="text1"/>
          <w:sz w:val="22"/>
          <w:szCs w:val="22"/>
        </w:rPr>
        <w:t>82</w:t>
      </w:r>
      <w:r w:rsidR="005728ED" w:rsidRPr="00B93977">
        <w:rPr>
          <w:rFonts w:ascii="Calibri" w:hAnsi="Calibri" w:cs="Calibri"/>
          <w:color w:val="000000" w:themeColor="text1"/>
          <w:sz w:val="22"/>
          <w:szCs w:val="22"/>
        </w:rPr>
        <w:t xml:space="preserve"> standard deviation unit increase in </w:t>
      </w:r>
      <w:r w:rsidR="005A5C3A">
        <w:rPr>
          <w:rFonts w:ascii="Calibri" w:hAnsi="Calibri" w:cs="Calibri"/>
          <w:color w:val="000000" w:themeColor="text1"/>
          <w:sz w:val="22"/>
          <w:szCs w:val="22"/>
        </w:rPr>
        <w:t xml:space="preserve">the number of helping behaviours committed. 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Conversely, at “low” (i.e., minus one standard deviation) levels of </w:t>
      </w:r>
      <w:r w:rsidR="00B04A28">
        <w:rPr>
          <w:rFonts w:asciiTheme="minorHAnsi" w:hAnsiTheme="minorHAnsi" w:cstheme="minorHAnsi"/>
          <w:color w:val="000000" w:themeColor="text1"/>
          <w:sz w:val="22"/>
          <w:szCs w:val="22"/>
        </w:rPr>
        <w:t>risk-taking propensity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trust </w:t>
      </w:r>
      <w:r w:rsid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propensity 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was found to plausibly predict between </w:t>
      </w:r>
      <w:r w:rsidR="00B14EA2">
        <w:rPr>
          <w:rFonts w:asciiTheme="minorHAnsi" w:hAnsiTheme="minorHAnsi" w:cstheme="minorHAnsi"/>
          <w:color w:val="000000" w:themeColor="text1"/>
          <w:sz w:val="22"/>
          <w:szCs w:val="22"/>
        </w:rPr>
        <w:t>11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="00B14EA2">
        <w:rPr>
          <w:rFonts w:asciiTheme="minorHAnsi" w:hAnsiTheme="minorHAnsi" w:cstheme="minorHAnsi"/>
          <w:color w:val="000000" w:themeColor="text1"/>
          <w:sz w:val="22"/>
          <w:szCs w:val="22"/>
        </w:rPr>
        <w:t>18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percent of the variance in </w:t>
      </w:r>
      <w:r w:rsidR="00B04A28">
        <w:rPr>
          <w:rFonts w:asciiTheme="minorHAnsi" w:hAnsiTheme="minorHAnsi" w:cstheme="minorHAnsi"/>
          <w:color w:val="000000" w:themeColor="text1"/>
          <w:sz w:val="22"/>
          <w:szCs w:val="22"/>
        </w:rPr>
        <w:t>the number of helping behaviours engaged in,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04A28" w:rsidRPr="00B04A28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t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>(496) = 1</w:t>
      </w:r>
      <w:r w:rsidR="00265EAB">
        <w:rPr>
          <w:rFonts w:asciiTheme="minorHAnsi" w:hAnsiTheme="minorHAnsi" w:cstheme="minorHAnsi"/>
          <w:color w:val="000000" w:themeColor="text1"/>
          <w:sz w:val="22"/>
          <w:szCs w:val="22"/>
        </w:rPr>
        <w:t>9.40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B04A28" w:rsidRPr="00B04A28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p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 .001, </w:t>
      </w:r>
      <w:r w:rsidR="00B04A28" w:rsidRPr="00B04A28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sr</w:t>
      </w:r>
      <w:r w:rsidR="00B04A28" w:rsidRPr="00B04A28">
        <w:rPr>
          <w:rFonts w:asciiTheme="minorHAnsi" w:hAnsiTheme="minorHAnsi" w:cstheme="minorHAnsi"/>
          <w:i/>
          <w:color w:val="000000" w:themeColor="text1"/>
          <w:sz w:val="22"/>
          <w:szCs w:val="22"/>
          <w:vertAlign w:val="superscript"/>
        </w:rPr>
        <w:t>2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.</w:t>
      </w:r>
      <w:r w:rsidR="00EF32A6">
        <w:rPr>
          <w:rFonts w:asciiTheme="minorHAnsi" w:hAnsiTheme="minorHAnsi" w:cstheme="minorHAnsi"/>
          <w:color w:val="000000" w:themeColor="text1"/>
          <w:sz w:val="22"/>
          <w:szCs w:val="22"/>
        </w:rPr>
        <w:t>15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B04A28" w:rsidRPr="00B04A28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95% CIs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04A28" w:rsidRPr="00B04A28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=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[.</w:t>
      </w:r>
      <w:r w:rsidR="00EF32A6">
        <w:rPr>
          <w:rFonts w:asciiTheme="minorHAnsi" w:hAnsiTheme="minorHAnsi" w:cstheme="minorHAnsi"/>
          <w:color w:val="000000" w:themeColor="text1"/>
          <w:sz w:val="22"/>
          <w:szCs w:val="22"/>
        </w:rPr>
        <w:t>11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>, .</w:t>
      </w:r>
      <w:r w:rsidR="00EF32A6">
        <w:rPr>
          <w:rFonts w:asciiTheme="minorHAnsi" w:hAnsiTheme="minorHAnsi" w:cstheme="minorHAnsi"/>
          <w:color w:val="000000" w:themeColor="text1"/>
          <w:sz w:val="22"/>
          <w:szCs w:val="22"/>
        </w:rPr>
        <w:t>18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], </w:t>
      </w:r>
      <w:r w:rsidR="00B04A28" w:rsidRPr="00E54EC4">
        <w:rPr>
          <w:rFonts w:asciiTheme="minorHAnsi" w:hAnsiTheme="minorHAnsi" w:cstheme="minorHAnsi"/>
          <w:i/>
          <w:color w:val="000000" w:themeColor="text1"/>
          <w:sz w:val="22"/>
          <w:szCs w:val="22"/>
          <w:highlight w:val="yellow"/>
        </w:rPr>
        <w:t>β</w:t>
      </w:r>
      <w:r w:rsidR="00B04A28" w:rsidRPr="00E54EC4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= 0.</w:t>
      </w:r>
      <w:r w:rsidR="00EF32A6" w:rsidRPr="00E54EC4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55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B04A28" w:rsidRPr="00B04A28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95% CIs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04A28" w:rsidRPr="00B04A28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=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[0.</w:t>
      </w:r>
      <w:r w:rsidR="00EF32A6">
        <w:rPr>
          <w:rFonts w:asciiTheme="minorHAnsi" w:hAnsiTheme="minorHAnsi" w:cstheme="minorHAnsi"/>
          <w:color w:val="000000" w:themeColor="text1"/>
          <w:sz w:val="22"/>
          <w:szCs w:val="22"/>
        </w:rPr>
        <w:t>49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>, 0.</w:t>
      </w:r>
      <w:r w:rsidR="00EF32A6">
        <w:rPr>
          <w:rFonts w:asciiTheme="minorHAnsi" w:hAnsiTheme="minorHAnsi" w:cstheme="minorHAnsi"/>
          <w:color w:val="000000" w:themeColor="text1"/>
          <w:sz w:val="22"/>
          <w:szCs w:val="22"/>
        </w:rPr>
        <w:t>60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]. Inspection of the 95 percent confidence intervals around the standardized slope coefficient suggested that, when </w:t>
      </w:r>
      <w:r w:rsidR="00B04A28">
        <w:rPr>
          <w:rFonts w:asciiTheme="minorHAnsi" w:hAnsiTheme="minorHAnsi" w:cstheme="minorHAnsi"/>
          <w:color w:val="000000" w:themeColor="text1"/>
          <w:sz w:val="22"/>
          <w:szCs w:val="22"/>
        </w:rPr>
        <w:t>risk-taking propensity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was low, every one standard deviation unit increase in trust </w:t>
      </w:r>
      <w:r w:rsidR="006C65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propensity 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>could plausibly predict between a 0.</w:t>
      </w:r>
      <w:r w:rsidR="00EF32A6">
        <w:rPr>
          <w:rFonts w:asciiTheme="minorHAnsi" w:hAnsiTheme="minorHAnsi" w:cstheme="minorHAnsi"/>
          <w:color w:val="000000" w:themeColor="text1"/>
          <w:sz w:val="22"/>
          <w:szCs w:val="22"/>
        </w:rPr>
        <w:t>49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a 0.</w:t>
      </w:r>
      <w:r w:rsidR="00EF32A6">
        <w:rPr>
          <w:rFonts w:asciiTheme="minorHAnsi" w:hAnsiTheme="minorHAnsi" w:cstheme="minorHAnsi"/>
          <w:color w:val="000000" w:themeColor="text1"/>
          <w:sz w:val="22"/>
          <w:szCs w:val="22"/>
        </w:rPr>
        <w:t>60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standard deviation unit increase in </w:t>
      </w:r>
      <w:r w:rsidR="006C65A7">
        <w:rPr>
          <w:rFonts w:asciiTheme="minorHAnsi" w:hAnsiTheme="minorHAnsi" w:cstheme="minorHAnsi"/>
          <w:color w:val="000000" w:themeColor="text1"/>
          <w:sz w:val="22"/>
          <w:szCs w:val="22"/>
        </w:rPr>
        <w:t>the number of helping behaviours committed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="00716267">
        <w:rPr>
          <w:rFonts w:asciiTheme="minorHAnsi" w:hAnsiTheme="minorHAnsi" w:cstheme="minorHAnsi"/>
          <w:color w:val="000000" w:themeColor="text1"/>
          <w:sz w:val="22"/>
          <w:szCs w:val="22"/>
        </w:rPr>
        <w:t>Thus</w:t>
      </w:r>
      <w:r w:rsidR="00906CF1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it appears that trust</w:t>
      </w:r>
      <w:r w:rsidR="006C65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propensity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is predictive of </w:t>
      </w:r>
      <w:r w:rsidR="006C65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number of 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helping behaviours </w:t>
      </w:r>
      <w:r w:rsidR="006C65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engaged 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</w:t>
      </w:r>
      <w:r w:rsidR="006C65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at 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both low and high </w:t>
      </w:r>
      <w:r w:rsidR="006C65A7">
        <w:rPr>
          <w:rFonts w:asciiTheme="minorHAnsi" w:hAnsiTheme="minorHAnsi" w:cstheme="minorHAnsi"/>
          <w:color w:val="000000" w:themeColor="text1"/>
          <w:sz w:val="22"/>
          <w:szCs w:val="22"/>
        </w:rPr>
        <w:t>risk-propensity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settings; </w:t>
      </w:r>
      <w:r w:rsidR="0071626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risk-propensity overall </w:t>
      </w:r>
      <w:r w:rsidR="00716267" w:rsidRPr="00F41CD3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strengthens</w:t>
      </w:r>
      <w:r w:rsidR="0071626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trust </w:t>
      </w:r>
      <w:r w:rsidR="00E27434">
        <w:rPr>
          <w:rFonts w:asciiTheme="minorHAnsi" w:hAnsiTheme="minorHAnsi" w:cstheme="minorHAnsi"/>
          <w:color w:val="000000" w:themeColor="text1"/>
          <w:sz w:val="22"/>
          <w:szCs w:val="22"/>
        </w:rPr>
        <w:t>propensity and helping relationship at both low and high levels</w:t>
      </w:r>
      <w:r w:rsidR="00CB743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risk propensity</w:t>
      </w:r>
      <w:r w:rsidR="00E27434">
        <w:rPr>
          <w:rFonts w:asciiTheme="minorHAnsi" w:hAnsiTheme="minorHAnsi" w:cstheme="minorHAnsi"/>
          <w:color w:val="000000" w:themeColor="text1"/>
          <w:sz w:val="22"/>
          <w:szCs w:val="22"/>
        </w:rPr>
        <w:t>. B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>ut</w:t>
      </w:r>
      <w:r w:rsidR="00E27434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FD10C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trust propensity </w:t>
      </w:r>
      <w:r w:rsidR="005F1A48">
        <w:rPr>
          <w:rFonts w:asciiTheme="minorHAnsi" w:hAnsiTheme="minorHAnsi" w:cstheme="minorHAnsi"/>
          <w:color w:val="000000" w:themeColor="text1"/>
          <w:sz w:val="22"/>
          <w:szCs w:val="22"/>
        </w:rPr>
        <w:t>may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be more strongly predictive of </w:t>
      </w:r>
      <w:r w:rsidR="006C65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number of helping behaviours committed 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when </w:t>
      </w:r>
      <w:r w:rsidR="006C65A7">
        <w:rPr>
          <w:rFonts w:asciiTheme="minorHAnsi" w:hAnsiTheme="minorHAnsi" w:cstheme="minorHAnsi"/>
          <w:color w:val="000000" w:themeColor="text1"/>
          <w:sz w:val="22"/>
          <w:szCs w:val="22"/>
        </w:rPr>
        <w:t>risk-propensity</w:t>
      </w:r>
      <w:r w:rsidR="00B04A28" w:rsidRPr="00B04A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is high.</w:t>
      </w:r>
    </w:p>
    <w:p w14:paraId="6F4A8127" w14:textId="6310F5BC" w:rsidR="007A59CE" w:rsidRDefault="00E879DA" w:rsidP="00B04A28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5</w:t>
      </w:r>
    </w:p>
    <w:p w14:paraId="60FD373B" w14:textId="00B7A1E3" w:rsidR="007A59CE" w:rsidRPr="007A59CE" w:rsidRDefault="007A59CE" w:rsidP="007A59CE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  <w:t>Trust propensity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was found to predict </w:t>
      </w:r>
      <w:r w:rsidR="00091A29">
        <w:rPr>
          <w:rFonts w:asciiTheme="minorHAnsi" w:hAnsiTheme="minorHAnsi" w:cstheme="minorHAnsi"/>
          <w:color w:val="000000" w:themeColor="text1"/>
          <w:sz w:val="22"/>
          <w:szCs w:val="22"/>
        </w:rPr>
        <w:t>six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percent of the variance in </w:t>
      </w:r>
      <w:r w:rsidR="00E770C3">
        <w:rPr>
          <w:rFonts w:asciiTheme="minorHAnsi" w:hAnsiTheme="minorHAnsi" w:cstheme="minorHAnsi"/>
          <w:color w:val="000000" w:themeColor="text1"/>
          <w:sz w:val="22"/>
          <w:szCs w:val="22"/>
        </w:rPr>
        <w:t>general fondness of people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7A59C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t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(498) = </w:t>
      </w:r>
      <w:r w:rsidR="002A174C">
        <w:rPr>
          <w:rFonts w:asciiTheme="minorHAnsi" w:hAnsiTheme="minorHAnsi" w:cstheme="minorHAnsi"/>
          <w:color w:val="000000" w:themeColor="text1"/>
          <w:sz w:val="22"/>
          <w:szCs w:val="22"/>
        </w:rPr>
        <w:t>5.48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7A59C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p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 .001, </w:t>
      </w:r>
      <w:r w:rsidRPr="007A59C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R</w:t>
      </w:r>
      <w:r w:rsidRPr="007A59CE">
        <w:rPr>
          <w:rFonts w:asciiTheme="minorHAnsi" w:hAnsiTheme="minorHAnsi" w:cstheme="minorHAnsi"/>
          <w:i/>
          <w:color w:val="000000" w:themeColor="text1"/>
          <w:sz w:val="22"/>
          <w:szCs w:val="22"/>
          <w:vertAlign w:val="superscript"/>
        </w:rPr>
        <w:t>2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.</w:t>
      </w:r>
      <w:r w:rsidR="002A174C">
        <w:rPr>
          <w:rFonts w:asciiTheme="minorHAnsi" w:hAnsiTheme="minorHAnsi" w:cstheme="minorHAnsi"/>
          <w:color w:val="000000" w:themeColor="text1"/>
          <w:sz w:val="22"/>
          <w:szCs w:val="22"/>
        </w:rPr>
        <w:t>06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7A59C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95% CIs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[.0</w:t>
      </w:r>
      <w:r w:rsidR="00E279F8">
        <w:rPr>
          <w:rFonts w:asciiTheme="minorHAnsi" w:hAnsiTheme="minorHAnsi" w:cstheme="minorHAnsi"/>
          <w:color w:val="000000" w:themeColor="text1"/>
          <w:sz w:val="22"/>
          <w:szCs w:val="22"/>
        </w:rPr>
        <w:t>3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>, .1</w:t>
      </w:r>
      <w:r w:rsidR="00E279F8">
        <w:rPr>
          <w:rFonts w:asciiTheme="minorHAnsi" w:hAnsiTheme="minorHAnsi" w:cstheme="minorHAnsi"/>
          <w:color w:val="000000" w:themeColor="text1"/>
          <w:sz w:val="22"/>
          <w:szCs w:val="22"/>
        </w:rPr>
        <w:t>1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], </w:t>
      </w:r>
      <w:r w:rsidRPr="007A59C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β 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>= 0.</w:t>
      </w:r>
      <w:r w:rsidR="00E279F8">
        <w:rPr>
          <w:rFonts w:asciiTheme="minorHAnsi" w:hAnsiTheme="minorHAnsi" w:cstheme="minorHAnsi"/>
          <w:color w:val="000000" w:themeColor="text1"/>
          <w:sz w:val="22"/>
          <w:szCs w:val="22"/>
        </w:rPr>
        <w:t>25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7A59C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95% CIs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[.</w:t>
      </w:r>
      <w:r w:rsidR="005B2134">
        <w:rPr>
          <w:rFonts w:asciiTheme="minorHAnsi" w:hAnsiTheme="minorHAnsi" w:cstheme="minorHAnsi"/>
          <w:color w:val="000000" w:themeColor="text1"/>
          <w:sz w:val="22"/>
          <w:szCs w:val="22"/>
        </w:rPr>
        <w:t>17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.</w:t>
      </w:r>
      <w:r w:rsidR="005B2134">
        <w:rPr>
          <w:rFonts w:asciiTheme="minorHAnsi" w:hAnsiTheme="minorHAnsi" w:cstheme="minorHAnsi"/>
          <w:color w:val="000000" w:themeColor="text1"/>
          <w:sz w:val="22"/>
          <w:szCs w:val="22"/>
        </w:rPr>
        <w:t>34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]. Examination of the 95 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percent confidence intervals around the standardized effect size suggested that trust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propensity 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may plausibly (though not certainly) account for anywhere from </w:t>
      </w:r>
      <w:r w:rsidR="00F16EE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three 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>to 1</w:t>
      </w:r>
      <w:r w:rsidR="00F16EE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1 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percent of the population-level variance in </w:t>
      </w:r>
      <w:r w:rsidR="00E770C3">
        <w:rPr>
          <w:rFonts w:asciiTheme="minorHAnsi" w:hAnsiTheme="minorHAnsi" w:cstheme="minorHAnsi"/>
          <w:color w:val="000000" w:themeColor="text1"/>
          <w:sz w:val="22"/>
          <w:szCs w:val="22"/>
        </w:rPr>
        <w:t>general fondness of people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(population-level effect sizes outside this range as possible, but are relatively less probable), supporting the </w:t>
      </w:r>
      <w:r w:rsidRPr="007A59C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a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-path of the proposed mediation model. </w:t>
      </w:r>
    </w:p>
    <w:p w14:paraId="6D3CC5F8" w14:textId="19D9379B" w:rsidR="007A59CE" w:rsidRPr="007A59CE" w:rsidRDefault="007A59CE" w:rsidP="007A59CE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Moreover, </w:t>
      </w:r>
      <w:r w:rsidR="00E770C3">
        <w:rPr>
          <w:rFonts w:asciiTheme="minorHAnsi" w:hAnsiTheme="minorHAnsi" w:cstheme="minorHAnsi"/>
          <w:color w:val="000000" w:themeColor="text1"/>
          <w:sz w:val="22"/>
          <w:szCs w:val="22"/>
        </w:rPr>
        <w:t>general fondness of people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uniquely predicted </w:t>
      </w:r>
      <w:r w:rsidR="006A1478">
        <w:rPr>
          <w:rFonts w:asciiTheme="minorHAnsi" w:hAnsiTheme="minorHAnsi" w:cstheme="minorHAnsi"/>
          <w:color w:val="000000" w:themeColor="text1"/>
          <w:sz w:val="22"/>
          <w:szCs w:val="22"/>
        </w:rPr>
        <w:t>nine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percent of the variance in willingness to help beyond the variance already accounted for by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trust propensity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7A59C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t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(497) = </w:t>
      </w:r>
      <w:r w:rsidR="00AC3400">
        <w:rPr>
          <w:rFonts w:asciiTheme="minorHAnsi" w:hAnsiTheme="minorHAnsi" w:cstheme="minorHAnsi"/>
          <w:color w:val="000000" w:themeColor="text1"/>
          <w:sz w:val="22"/>
          <w:szCs w:val="22"/>
        </w:rPr>
        <w:t>6.91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7A59C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p 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&lt; .001, </w:t>
      </w:r>
      <w:r w:rsidRPr="007A59C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sr</w:t>
      </w:r>
      <w:r w:rsidRPr="007A59CE">
        <w:rPr>
          <w:rFonts w:asciiTheme="minorHAnsi" w:hAnsiTheme="minorHAnsi" w:cstheme="minorHAnsi"/>
          <w:i/>
          <w:color w:val="000000" w:themeColor="text1"/>
          <w:sz w:val="22"/>
          <w:szCs w:val="22"/>
          <w:vertAlign w:val="superscript"/>
        </w:rPr>
        <w:t>2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.</w:t>
      </w:r>
      <w:r w:rsidR="00AC3400">
        <w:rPr>
          <w:rFonts w:asciiTheme="minorHAnsi" w:hAnsiTheme="minorHAnsi" w:cstheme="minorHAnsi"/>
          <w:color w:val="000000" w:themeColor="text1"/>
          <w:sz w:val="22"/>
          <w:szCs w:val="22"/>
        </w:rPr>
        <w:t>09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7A59C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95% CIs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[.</w:t>
      </w:r>
      <w:r w:rsidR="003B6804">
        <w:rPr>
          <w:rFonts w:asciiTheme="minorHAnsi" w:hAnsiTheme="minorHAnsi" w:cstheme="minorHAnsi"/>
          <w:color w:val="000000" w:themeColor="text1"/>
          <w:sz w:val="22"/>
          <w:szCs w:val="22"/>
        </w:rPr>
        <w:t>04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>, .</w:t>
      </w:r>
      <w:r w:rsidR="003B6804">
        <w:rPr>
          <w:rFonts w:asciiTheme="minorHAnsi" w:hAnsiTheme="minorHAnsi" w:cstheme="minorHAnsi"/>
          <w:color w:val="000000" w:themeColor="text1"/>
          <w:sz w:val="22"/>
          <w:szCs w:val="22"/>
        </w:rPr>
        <w:t>13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], </w:t>
      </w:r>
      <w:r w:rsidRPr="007A59C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β 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>= 0.</w:t>
      </w:r>
      <w:r w:rsidR="0007043E">
        <w:rPr>
          <w:rFonts w:asciiTheme="minorHAnsi" w:hAnsiTheme="minorHAnsi" w:cstheme="minorHAnsi"/>
          <w:color w:val="000000" w:themeColor="text1"/>
          <w:sz w:val="22"/>
          <w:szCs w:val="22"/>
        </w:rPr>
        <w:t>30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7A59C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95% CIs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[.</w:t>
      </w:r>
      <w:r w:rsidR="0007043E">
        <w:rPr>
          <w:rFonts w:asciiTheme="minorHAnsi" w:hAnsiTheme="minorHAnsi" w:cstheme="minorHAnsi"/>
          <w:color w:val="000000" w:themeColor="text1"/>
          <w:sz w:val="22"/>
          <w:szCs w:val="22"/>
        </w:rPr>
        <w:t>22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>, .</w:t>
      </w:r>
      <w:r w:rsidR="0007043E">
        <w:rPr>
          <w:rFonts w:asciiTheme="minorHAnsi" w:hAnsiTheme="minorHAnsi" w:cstheme="minorHAnsi"/>
          <w:color w:val="000000" w:themeColor="text1"/>
          <w:sz w:val="22"/>
          <w:szCs w:val="22"/>
        </w:rPr>
        <w:t>39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]. Examination of the 95 percent confidence intervals around the standardized partial effect size suggested that, controlling for the effects of trust, </w:t>
      </w:r>
      <w:r w:rsidR="00E770C3">
        <w:rPr>
          <w:rFonts w:asciiTheme="minorHAnsi" w:hAnsiTheme="minorHAnsi" w:cstheme="minorHAnsi"/>
          <w:color w:val="000000" w:themeColor="text1"/>
          <w:sz w:val="22"/>
          <w:szCs w:val="22"/>
        </w:rPr>
        <w:t>general fondness of people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may plausibly (though not certainly) account for anywhere from </w:t>
      </w:r>
      <w:r w:rsidR="0007043E">
        <w:rPr>
          <w:rFonts w:asciiTheme="minorHAnsi" w:hAnsiTheme="minorHAnsi" w:cstheme="minorHAnsi"/>
          <w:color w:val="000000" w:themeColor="text1"/>
          <w:sz w:val="22"/>
          <w:szCs w:val="22"/>
        </w:rPr>
        <w:t>four to 13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percent of the population-level variance in willingness to help, supporting the </w:t>
      </w:r>
      <w:r w:rsidRPr="007A59C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b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>-path of the proposed mediation model.</w:t>
      </w:r>
    </w:p>
    <w:p w14:paraId="19037326" w14:textId="77777777" w:rsidR="00E879DA" w:rsidRDefault="007A59CE" w:rsidP="00B04A28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7A2AC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Because both the </w:t>
      </w:r>
      <w:r w:rsidRPr="007A2AC7">
        <w:rPr>
          <w:rFonts w:asciiTheme="minorHAnsi" w:hAnsiTheme="minorHAnsi" w:cstheme="minorHAnsi"/>
          <w:i/>
          <w:color w:val="000000" w:themeColor="text1"/>
          <w:sz w:val="22"/>
          <w:szCs w:val="22"/>
          <w:highlight w:val="yellow"/>
        </w:rPr>
        <w:t>a-</w:t>
      </w:r>
      <w:r w:rsidRPr="007A2AC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and </w:t>
      </w:r>
      <w:r w:rsidRPr="007A2AC7">
        <w:rPr>
          <w:rFonts w:asciiTheme="minorHAnsi" w:hAnsiTheme="minorHAnsi" w:cstheme="minorHAnsi"/>
          <w:i/>
          <w:color w:val="000000" w:themeColor="text1"/>
          <w:sz w:val="22"/>
          <w:szCs w:val="22"/>
          <w:highlight w:val="yellow"/>
        </w:rPr>
        <w:t>b</w:t>
      </w:r>
      <w:r w:rsidRPr="007A2AC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-paths of the model were supported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>, mediation was tested using bootstrapping with bias-corrected confidence intervals. The result supported the indirect path between trust</w:t>
      </w:r>
      <w:r w:rsidR="005340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propensity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</w:t>
      </w:r>
      <w:r w:rsidR="005340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general helpfulness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via </w:t>
      </w:r>
      <w:r w:rsidR="00E770C3">
        <w:rPr>
          <w:rFonts w:asciiTheme="minorHAnsi" w:hAnsiTheme="minorHAnsi" w:cstheme="minorHAnsi"/>
          <w:color w:val="000000" w:themeColor="text1"/>
          <w:sz w:val="22"/>
          <w:szCs w:val="22"/>
        </w:rPr>
        <w:t>general fondness of people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7A59C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β 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>= 0.</w:t>
      </w:r>
      <w:r w:rsidR="00E41EF5">
        <w:rPr>
          <w:rFonts w:asciiTheme="minorHAnsi" w:hAnsiTheme="minorHAnsi" w:cstheme="minorHAnsi"/>
          <w:color w:val="000000" w:themeColor="text1"/>
          <w:sz w:val="22"/>
          <w:szCs w:val="22"/>
        </w:rPr>
        <w:t>08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95% </w:t>
      </w:r>
      <w:r w:rsidRPr="007A59C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CIs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[0.</w:t>
      </w:r>
      <w:r w:rsidR="009478B0">
        <w:rPr>
          <w:rFonts w:asciiTheme="minorHAnsi" w:hAnsiTheme="minorHAnsi" w:cstheme="minorHAnsi"/>
          <w:color w:val="000000" w:themeColor="text1"/>
          <w:sz w:val="22"/>
          <w:szCs w:val="22"/>
        </w:rPr>
        <w:t>04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>, 0.</w:t>
      </w:r>
      <w:r w:rsidR="009478B0">
        <w:rPr>
          <w:rFonts w:asciiTheme="minorHAnsi" w:hAnsiTheme="minorHAnsi" w:cstheme="minorHAnsi"/>
          <w:color w:val="000000" w:themeColor="text1"/>
          <w:sz w:val="22"/>
          <w:szCs w:val="22"/>
        </w:rPr>
        <w:t>12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>]. Conversely, the direct path between trust</w:t>
      </w:r>
      <w:r w:rsidR="009478B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propensity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="009478B0">
        <w:rPr>
          <w:rFonts w:asciiTheme="minorHAnsi" w:hAnsiTheme="minorHAnsi" w:cstheme="minorHAnsi"/>
          <w:color w:val="000000" w:themeColor="text1"/>
          <w:sz w:val="22"/>
          <w:szCs w:val="22"/>
        </w:rPr>
        <w:t>general helpfulness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was not significant after accounting for </w:t>
      </w:r>
      <w:r w:rsidR="00E770C3">
        <w:rPr>
          <w:rFonts w:asciiTheme="minorHAnsi" w:hAnsiTheme="minorHAnsi" w:cstheme="minorHAnsi"/>
          <w:color w:val="000000" w:themeColor="text1"/>
          <w:sz w:val="22"/>
          <w:szCs w:val="22"/>
        </w:rPr>
        <w:t>general fondness of people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7A59C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β 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>= 0.0</w:t>
      </w:r>
      <w:r w:rsidR="00D91384">
        <w:rPr>
          <w:rFonts w:asciiTheme="minorHAnsi" w:hAnsiTheme="minorHAnsi" w:cstheme="minorHAnsi"/>
          <w:color w:val="000000" w:themeColor="text1"/>
          <w:sz w:val="22"/>
          <w:szCs w:val="22"/>
        </w:rPr>
        <w:t>5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95% </w:t>
      </w:r>
      <w:r w:rsidRPr="007A59C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CIs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[-0.0</w:t>
      </w:r>
      <w:r w:rsidR="00D73479">
        <w:rPr>
          <w:rFonts w:asciiTheme="minorHAnsi" w:hAnsiTheme="minorHAnsi" w:cstheme="minorHAnsi"/>
          <w:color w:val="000000" w:themeColor="text1"/>
          <w:sz w:val="22"/>
          <w:szCs w:val="22"/>
        </w:rPr>
        <w:t>4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>, 0.1</w:t>
      </w:r>
      <w:r w:rsidR="00D73479">
        <w:rPr>
          <w:rFonts w:asciiTheme="minorHAnsi" w:hAnsiTheme="minorHAnsi" w:cstheme="minorHAnsi"/>
          <w:color w:val="000000" w:themeColor="text1"/>
          <w:sz w:val="22"/>
          <w:szCs w:val="22"/>
        </w:rPr>
        <w:t>2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]. </w:t>
      </w:r>
      <w:r w:rsidR="00D351B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Indeed, </w:t>
      </w:r>
      <w:r w:rsidR="00E879DA">
        <w:rPr>
          <w:rFonts w:asciiTheme="minorHAnsi" w:hAnsiTheme="minorHAnsi" w:cstheme="minorHAnsi"/>
          <w:color w:val="000000" w:themeColor="text1"/>
          <w:sz w:val="22"/>
          <w:szCs w:val="22"/>
        </w:rPr>
        <w:t>because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direct path between trust</w:t>
      </w:r>
      <w:r w:rsidR="00E32A6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propensity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="00E32A6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general helpfulness 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could no longer be concluded to be a non-zero relationship, these results suggested the idea that </w:t>
      </w:r>
      <w:r w:rsidR="00E770C3">
        <w:rPr>
          <w:rFonts w:asciiTheme="minorHAnsi" w:hAnsiTheme="minorHAnsi" w:cstheme="minorHAnsi"/>
          <w:color w:val="000000" w:themeColor="text1"/>
          <w:sz w:val="22"/>
          <w:szCs w:val="22"/>
        </w:rPr>
        <w:t>general fondness of people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B72C3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may fully mediate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relation between trust </w:t>
      </w:r>
      <w:r w:rsidR="00E32A6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propensity </w:t>
      </w:r>
      <w:r w:rsidRPr="007A59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r w:rsidR="00E32A6E">
        <w:rPr>
          <w:rFonts w:asciiTheme="minorHAnsi" w:hAnsiTheme="minorHAnsi" w:cstheme="minorHAnsi"/>
          <w:color w:val="000000" w:themeColor="text1"/>
          <w:sz w:val="22"/>
          <w:szCs w:val="22"/>
        </w:rPr>
        <w:t>general helpfulness</w:t>
      </w:r>
      <w:r w:rsidR="00E879DA">
        <w:rPr>
          <w:rFonts w:asciiTheme="minorHAnsi" w:hAnsiTheme="minorHAnsi" w:cstheme="minorHAnsi"/>
          <w:color w:val="000000" w:themeColor="text1"/>
          <w:sz w:val="22"/>
          <w:szCs w:val="22"/>
        </w:rPr>
        <w:t>, see Figure 2.</w:t>
      </w:r>
    </w:p>
    <w:p w14:paraId="6A8ECAAB" w14:textId="0301F630" w:rsidR="00E879DA" w:rsidRDefault="00E879DA" w:rsidP="00B04A28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Figure 2 </w:t>
      </w:r>
    </w:p>
    <w:p w14:paraId="7D4E50C6" w14:textId="1A2B78C4" w:rsidR="00E879DA" w:rsidRPr="00E879DA" w:rsidRDefault="00E879DA" w:rsidP="00B04A28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Screenshot of R Mediation Analyses </w:t>
      </w:r>
      <w:proofErr w:type="spellStart"/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Ouptut</w:t>
      </w:r>
      <w:proofErr w:type="spellEnd"/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 </w:t>
      </w:r>
    </w:p>
    <w:p w14:paraId="069A1AA7" w14:textId="36C97B5F" w:rsidR="007A59CE" w:rsidRPr="007A59CE" w:rsidRDefault="00EA0B68" w:rsidP="00B04A28">
      <w:pPr>
        <w:tabs>
          <w:tab w:val="left" w:pos="567"/>
          <w:tab w:val="left" w:pos="4962"/>
        </w:tabs>
        <w:spacing w:line="48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0356E681" wp14:editId="475036BF">
            <wp:extent cx="3865753" cy="200887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717" cy="202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1025" w14:textId="77777777" w:rsidR="005728ED" w:rsidRDefault="005728ED" w:rsidP="003E0139">
      <w:pPr>
        <w:tabs>
          <w:tab w:val="left" w:pos="567"/>
          <w:tab w:val="left" w:pos="4962"/>
        </w:tabs>
        <w:spacing w:line="480" w:lineRule="auto"/>
        <w:rPr>
          <w:color w:val="000000" w:themeColor="text1"/>
        </w:rPr>
      </w:pPr>
    </w:p>
    <w:p w14:paraId="15D19BB6" w14:textId="77777777" w:rsidR="00393908" w:rsidRPr="003E0139" w:rsidRDefault="00393908" w:rsidP="00173408">
      <w:pPr>
        <w:spacing w:line="48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540E7F16" w14:textId="77777777" w:rsidR="000B6AC5" w:rsidRPr="00A33195" w:rsidRDefault="000B6AC5" w:rsidP="00DA7148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sectPr w:rsidR="000B6AC5" w:rsidRPr="00A33195">
      <w:headerReference w:type="even" r:id="rId12"/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hul Patel" w:date="2022-02-01T11:38:00Z" w:initials="RP">
    <w:p w14:paraId="7B4BBD25" w14:textId="4A8B71A6" w:rsidR="00F654E0" w:rsidRDefault="00F654E0">
      <w:pPr>
        <w:pStyle w:val="CommentText"/>
      </w:pPr>
      <w:r>
        <w:rPr>
          <w:rStyle w:val="CommentReference"/>
        </w:rPr>
        <w:annotationRef/>
      </w:r>
      <w:r w:rsidR="001F5A52">
        <w:t>All effects have to be interpreted in terms of controlling for something else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4BBD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39A33" w16cex:dateUtc="2022-02-01T1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4BBD25" w16cid:durableId="25A39A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4B1B3" w14:textId="77777777" w:rsidR="007056C5" w:rsidRDefault="007056C5" w:rsidP="000B6AC5">
      <w:r>
        <w:separator/>
      </w:r>
    </w:p>
  </w:endnote>
  <w:endnote w:type="continuationSeparator" w:id="0">
    <w:p w14:paraId="7B97F314" w14:textId="77777777" w:rsidR="007056C5" w:rsidRDefault="007056C5" w:rsidP="000B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2DDA7" w14:textId="77777777" w:rsidR="007056C5" w:rsidRDefault="007056C5" w:rsidP="000B6AC5">
      <w:r>
        <w:separator/>
      </w:r>
    </w:p>
  </w:footnote>
  <w:footnote w:type="continuationSeparator" w:id="0">
    <w:p w14:paraId="16847527" w14:textId="77777777" w:rsidR="007056C5" w:rsidRDefault="007056C5" w:rsidP="000B6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586823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B95DCF7" w14:textId="2914534D" w:rsidR="000B6AC5" w:rsidRDefault="000B6AC5" w:rsidP="007072D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D8F55A" w14:textId="77777777" w:rsidR="000B6AC5" w:rsidRDefault="000B6AC5" w:rsidP="000B6AC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8874984"/>
      <w:docPartObj>
        <w:docPartGallery w:val="Page Numbers (Top of Page)"/>
        <w:docPartUnique/>
      </w:docPartObj>
    </w:sdtPr>
    <w:sdtEndPr>
      <w:rPr>
        <w:rStyle w:val="PageNumber"/>
        <w:rFonts w:asciiTheme="minorHAnsi" w:hAnsiTheme="minorHAnsi" w:cstheme="minorHAnsi"/>
        <w:sz w:val="21"/>
        <w:szCs w:val="21"/>
      </w:rPr>
    </w:sdtEndPr>
    <w:sdtContent>
      <w:p w14:paraId="5F6010FB" w14:textId="25CD5FC5" w:rsidR="000B6AC5" w:rsidRPr="000B6AC5" w:rsidRDefault="000B6AC5" w:rsidP="007072DD">
        <w:pPr>
          <w:pStyle w:val="Header"/>
          <w:framePr w:wrap="none" w:vAnchor="text" w:hAnchor="margin" w:xAlign="right" w:y="1"/>
          <w:rPr>
            <w:rStyle w:val="PageNumber"/>
            <w:rFonts w:asciiTheme="minorHAnsi" w:hAnsiTheme="minorHAnsi" w:cstheme="minorHAnsi"/>
            <w:sz w:val="22"/>
            <w:szCs w:val="22"/>
          </w:rPr>
        </w:pP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fldChar w:fldCharType="begin"/>
        </w: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instrText xml:space="preserve"> PAGE </w:instrText>
        </w: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fldChar w:fldCharType="separate"/>
        </w:r>
        <w:r w:rsidRPr="000B6AC5">
          <w:rPr>
            <w:rStyle w:val="PageNumber"/>
            <w:rFonts w:asciiTheme="minorHAnsi" w:hAnsiTheme="minorHAnsi" w:cstheme="minorHAnsi"/>
            <w:noProof/>
            <w:sz w:val="22"/>
            <w:szCs w:val="22"/>
          </w:rPr>
          <w:t>1</w:t>
        </w: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26FA2E8D" w14:textId="77777777" w:rsidR="000B6AC5" w:rsidRPr="000B6AC5" w:rsidRDefault="000B6AC5" w:rsidP="000B6AC5">
    <w:pPr>
      <w:pStyle w:val="Header"/>
      <w:ind w:right="360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F34"/>
    <w:multiLevelType w:val="hybridMultilevel"/>
    <w:tmpl w:val="953CB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83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AC"/>
    <w:rsid w:val="000210D5"/>
    <w:rsid w:val="00024572"/>
    <w:rsid w:val="0006311A"/>
    <w:rsid w:val="0007043E"/>
    <w:rsid w:val="000831AC"/>
    <w:rsid w:val="00091113"/>
    <w:rsid w:val="00091A29"/>
    <w:rsid w:val="000B6AC5"/>
    <w:rsid w:val="000F772D"/>
    <w:rsid w:val="00136DE2"/>
    <w:rsid w:val="001703A2"/>
    <w:rsid w:val="00173408"/>
    <w:rsid w:val="0019111F"/>
    <w:rsid w:val="001B0880"/>
    <w:rsid w:val="001F5A52"/>
    <w:rsid w:val="0026283C"/>
    <w:rsid w:val="00265EAB"/>
    <w:rsid w:val="00281927"/>
    <w:rsid w:val="002A174C"/>
    <w:rsid w:val="002A4735"/>
    <w:rsid w:val="002A73B6"/>
    <w:rsid w:val="002D5042"/>
    <w:rsid w:val="00302B36"/>
    <w:rsid w:val="00323D3B"/>
    <w:rsid w:val="00326BB3"/>
    <w:rsid w:val="0033408A"/>
    <w:rsid w:val="00355C0E"/>
    <w:rsid w:val="00393908"/>
    <w:rsid w:val="003B6804"/>
    <w:rsid w:val="003C4CD6"/>
    <w:rsid w:val="003E0139"/>
    <w:rsid w:val="003E3135"/>
    <w:rsid w:val="003F5D90"/>
    <w:rsid w:val="004020E0"/>
    <w:rsid w:val="004021B9"/>
    <w:rsid w:val="00404FAB"/>
    <w:rsid w:val="00454DBD"/>
    <w:rsid w:val="00475593"/>
    <w:rsid w:val="004C534B"/>
    <w:rsid w:val="00534054"/>
    <w:rsid w:val="005728ED"/>
    <w:rsid w:val="00577A2C"/>
    <w:rsid w:val="005A3D2F"/>
    <w:rsid w:val="005A5A9D"/>
    <w:rsid w:val="005A5C3A"/>
    <w:rsid w:val="005B2134"/>
    <w:rsid w:val="005D5EE0"/>
    <w:rsid w:val="005F1A48"/>
    <w:rsid w:val="00602F23"/>
    <w:rsid w:val="006121F2"/>
    <w:rsid w:val="00634C61"/>
    <w:rsid w:val="00686A6F"/>
    <w:rsid w:val="006A1478"/>
    <w:rsid w:val="006C65A7"/>
    <w:rsid w:val="007056C5"/>
    <w:rsid w:val="00716267"/>
    <w:rsid w:val="00721DC7"/>
    <w:rsid w:val="00745C2B"/>
    <w:rsid w:val="00746991"/>
    <w:rsid w:val="007576F8"/>
    <w:rsid w:val="00761440"/>
    <w:rsid w:val="00774845"/>
    <w:rsid w:val="007A2AC7"/>
    <w:rsid w:val="007A59CE"/>
    <w:rsid w:val="007B72C3"/>
    <w:rsid w:val="007D4F6A"/>
    <w:rsid w:val="007E717E"/>
    <w:rsid w:val="007E74CA"/>
    <w:rsid w:val="00800075"/>
    <w:rsid w:val="00810BB8"/>
    <w:rsid w:val="00826B9D"/>
    <w:rsid w:val="00836E34"/>
    <w:rsid w:val="008551C7"/>
    <w:rsid w:val="00877A5F"/>
    <w:rsid w:val="008C69B9"/>
    <w:rsid w:val="00906CF1"/>
    <w:rsid w:val="0092592F"/>
    <w:rsid w:val="00926591"/>
    <w:rsid w:val="009478B0"/>
    <w:rsid w:val="00975D02"/>
    <w:rsid w:val="009829F6"/>
    <w:rsid w:val="009D462B"/>
    <w:rsid w:val="009F4A34"/>
    <w:rsid w:val="00A2235A"/>
    <w:rsid w:val="00A33195"/>
    <w:rsid w:val="00A41957"/>
    <w:rsid w:val="00A51BA5"/>
    <w:rsid w:val="00A54169"/>
    <w:rsid w:val="00A5679D"/>
    <w:rsid w:val="00AC0DAB"/>
    <w:rsid w:val="00AC3400"/>
    <w:rsid w:val="00B04A28"/>
    <w:rsid w:val="00B13156"/>
    <w:rsid w:val="00B14EA2"/>
    <w:rsid w:val="00B21C38"/>
    <w:rsid w:val="00B24E15"/>
    <w:rsid w:val="00B30E33"/>
    <w:rsid w:val="00B93977"/>
    <w:rsid w:val="00B9619A"/>
    <w:rsid w:val="00BD24AC"/>
    <w:rsid w:val="00BD7249"/>
    <w:rsid w:val="00BE0C16"/>
    <w:rsid w:val="00BF5CD7"/>
    <w:rsid w:val="00C3207A"/>
    <w:rsid w:val="00C8358E"/>
    <w:rsid w:val="00CB5047"/>
    <w:rsid w:val="00CB577B"/>
    <w:rsid w:val="00CB7438"/>
    <w:rsid w:val="00CE3DFB"/>
    <w:rsid w:val="00D13AB4"/>
    <w:rsid w:val="00D351BD"/>
    <w:rsid w:val="00D45619"/>
    <w:rsid w:val="00D52427"/>
    <w:rsid w:val="00D62AC2"/>
    <w:rsid w:val="00D73479"/>
    <w:rsid w:val="00D91384"/>
    <w:rsid w:val="00DA408D"/>
    <w:rsid w:val="00DA7148"/>
    <w:rsid w:val="00DC77C4"/>
    <w:rsid w:val="00DE3B03"/>
    <w:rsid w:val="00DF2044"/>
    <w:rsid w:val="00DF3B0B"/>
    <w:rsid w:val="00DF3CF1"/>
    <w:rsid w:val="00E16F52"/>
    <w:rsid w:val="00E218E4"/>
    <w:rsid w:val="00E27434"/>
    <w:rsid w:val="00E279F8"/>
    <w:rsid w:val="00E32A6E"/>
    <w:rsid w:val="00E41EF5"/>
    <w:rsid w:val="00E54EC4"/>
    <w:rsid w:val="00E770C3"/>
    <w:rsid w:val="00E81B34"/>
    <w:rsid w:val="00E879DA"/>
    <w:rsid w:val="00EA0B68"/>
    <w:rsid w:val="00EA4081"/>
    <w:rsid w:val="00EC0221"/>
    <w:rsid w:val="00EF32A6"/>
    <w:rsid w:val="00F154CA"/>
    <w:rsid w:val="00F16EEC"/>
    <w:rsid w:val="00F263C1"/>
    <w:rsid w:val="00F41CD3"/>
    <w:rsid w:val="00F620FF"/>
    <w:rsid w:val="00F654E0"/>
    <w:rsid w:val="00F716DF"/>
    <w:rsid w:val="00F76E44"/>
    <w:rsid w:val="00F813C6"/>
    <w:rsid w:val="00F93D40"/>
    <w:rsid w:val="00FD10CD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8D087"/>
  <w15:chartTrackingRefBased/>
  <w15:docId w15:val="{12BBD6B3-8AC3-E944-A65F-9E24FD57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C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A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A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B6A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AC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B6AC5"/>
  </w:style>
  <w:style w:type="paragraph" w:styleId="ListParagraph">
    <w:name w:val="List Paragraph"/>
    <w:basedOn w:val="Normal"/>
    <w:uiPriority w:val="34"/>
    <w:qFormat/>
    <w:rsid w:val="00A331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5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4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4E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4E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Patel</dc:creator>
  <cp:keywords/>
  <dc:description/>
  <cp:lastModifiedBy>Rahul Patel</cp:lastModifiedBy>
  <cp:revision>153</cp:revision>
  <dcterms:created xsi:type="dcterms:W3CDTF">2022-01-25T23:32:00Z</dcterms:created>
  <dcterms:modified xsi:type="dcterms:W3CDTF">2022-08-05T13:09:00Z</dcterms:modified>
</cp:coreProperties>
</file>