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03C86" w14:textId="5BFCECF5" w:rsidR="00721C3A" w:rsidRDefault="002A4C15" w:rsidP="002A4C15">
      <w:pPr>
        <w:pStyle w:val="Heading1"/>
      </w:pPr>
      <w:r>
        <w:t>AI – Enterprise TCO: One of the most important considerations for enterprises before scaling</w:t>
      </w:r>
    </w:p>
    <w:p w14:paraId="03863993" w14:textId="77777777" w:rsidR="002A4C15" w:rsidRDefault="002A4C15"/>
    <w:p w14:paraId="5ECD32BC" w14:textId="22E9EF18" w:rsidR="002A4C15" w:rsidRDefault="002A4C15" w:rsidP="002A4C15">
      <w:pPr>
        <w:pStyle w:val="Heading2"/>
      </w:pPr>
      <w:r>
        <w:t>Executive Summary</w:t>
      </w:r>
    </w:p>
    <w:p w14:paraId="3FFA1BA0" w14:textId="332B1563" w:rsidR="002A4C15" w:rsidRDefault="00FE54E0">
      <w:r>
        <w:t xml:space="preserve">Benefit from AI technology within an enterprise is well-known. However, it needs to be carefully evaluated against each organisation's process, policy, priorities and objectives. </w:t>
      </w:r>
      <w:r w:rsidR="007A51F1">
        <w:t xml:space="preserve">Business benefit needs to include return on investment on AI applications. A visibility on different stages / layers of application and what they cost is </w:t>
      </w:r>
      <w:proofErr w:type="gramStart"/>
      <w:r w:rsidR="007A51F1">
        <w:t>absolutely essential</w:t>
      </w:r>
      <w:proofErr w:type="gramEnd"/>
      <w:r w:rsidR="007A51F1">
        <w:t xml:space="preserve"> for leadership to estimate TCO and assess ROI. </w:t>
      </w:r>
    </w:p>
    <w:p w14:paraId="33B1813A" w14:textId="2CAFC1FC" w:rsidR="007A51F1" w:rsidRDefault="007A51F1">
      <w:r>
        <w:t>This paper is meant for executives (CFO, Head-</w:t>
      </w:r>
      <w:proofErr w:type="spellStart"/>
      <w:r>
        <w:t>Ofs</w:t>
      </w:r>
      <w:proofErr w:type="spellEnd"/>
      <w:r>
        <w:t xml:space="preserve">, Principals), architects and anyone who is interested in getting an overview of key AI development lifecycle stages. It discusses, architectural aspects, TCO (and its components: </w:t>
      </w:r>
      <w:proofErr w:type="spellStart"/>
      <w:r>
        <w:t>Opex</w:t>
      </w:r>
      <w:proofErr w:type="spellEnd"/>
      <w:r>
        <w:t xml:space="preserve"> and Capex) with an example. </w:t>
      </w:r>
    </w:p>
    <w:p w14:paraId="75F066DD" w14:textId="081679BB" w:rsidR="002A4C15" w:rsidRDefault="002A4C15" w:rsidP="002A4C15">
      <w:pPr>
        <w:pStyle w:val="Heading2"/>
      </w:pPr>
      <w:r>
        <w:t>Architectural context</w:t>
      </w:r>
    </w:p>
    <w:p w14:paraId="2AD352A6" w14:textId="2F18A46A" w:rsidR="002A4C15" w:rsidRDefault="004937C5">
      <w:r>
        <w:t xml:space="preserve">Enterprise use case can vary from utilising a LLM model call to orchestrating via multiple agents and everything in between. </w:t>
      </w:r>
    </w:p>
    <w:p w14:paraId="4057F293" w14:textId="599D16DC" w:rsidR="004937C5" w:rsidRDefault="004937C5">
      <w:r>
        <w:t xml:space="preserve">Choosing components from reference architecture below will depend on the complexity of use cases. </w:t>
      </w:r>
      <w:proofErr w:type="gramStart"/>
      <w:r>
        <w:t>Usually</w:t>
      </w:r>
      <w:proofErr w:type="gramEnd"/>
      <w:r>
        <w:t xml:space="preserve"> the use case starts with something simple / less complex, low risk but significant impact such as chatbot / Q&amp;A / Customer support. It provides an opportunity to create a foundation level of platform. </w:t>
      </w:r>
      <w:proofErr w:type="gramStart"/>
      <w:r>
        <w:t>Its</w:t>
      </w:r>
      <w:proofErr w:type="gramEnd"/>
      <w:r>
        <w:t xml:space="preserve"> an opportunity to create components like Model gateway along with a preferred hosting provider. </w:t>
      </w:r>
    </w:p>
    <w:p w14:paraId="0A34FD50" w14:textId="337DEEB9" w:rsidR="004937C5" w:rsidRDefault="004937C5">
      <w:r>
        <w:t xml:space="preserve">As the AI landscape increases, more models are added with the same provider (preferable), different providers or </w:t>
      </w:r>
      <w:proofErr w:type="spellStart"/>
      <w:r>
        <w:t>self hosted</w:t>
      </w:r>
      <w:proofErr w:type="spellEnd"/>
      <w:r>
        <w:t xml:space="preserve">. This can be fronted with agents and / or agent orchestration as the automated workflow capabilities are included in the AI roadmap. </w:t>
      </w:r>
    </w:p>
    <w:p w14:paraId="334765E5" w14:textId="495CCB28" w:rsidR="003B71E3" w:rsidRPr="003B71E3" w:rsidRDefault="003B71E3" w:rsidP="003B71E3">
      <w:pPr>
        <w:rPr>
          <w:lang w:val="en-US"/>
        </w:rPr>
      </w:pPr>
      <w:r w:rsidRPr="003B71E3">
        <w:rPr>
          <w:noProof/>
          <w:lang w:val="en-US"/>
        </w:rPr>
        <w:lastRenderedPageBreak/>
        <w:drawing>
          <wp:inline distT="0" distB="0" distL="0" distR="0" wp14:anchorId="19FDA8F4" wp14:editId="731A0C75">
            <wp:extent cx="5731510" cy="3385820"/>
            <wp:effectExtent l="0" t="0" r="2540" b="5080"/>
            <wp:docPr id="1242201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85820"/>
                    </a:xfrm>
                    <a:prstGeom prst="rect">
                      <a:avLst/>
                    </a:prstGeom>
                    <a:noFill/>
                    <a:ln>
                      <a:noFill/>
                    </a:ln>
                  </pic:spPr>
                </pic:pic>
              </a:graphicData>
            </a:graphic>
          </wp:inline>
        </w:drawing>
      </w:r>
    </w:p>
    <w:p w14:paraId="12584767" w14:textId="21A61613" w:rsidR="002A4C15" w:rsidRDefault="003E4DA0">
      <w:r>
        <w:t xml:space="preserve">While this paper </w:t>
      </w:r>
      <w:r w:rsidR="009A3B69">
        <w:t xml:space="preserve">focuses on TCO components, there are specific ways to </w:t>
      </w:r>
      <w:r w:rsidR="002775E3">
        <w:t xml:space="preserve">optimise spend on </w:t>
      </w:r>
      <w:r w:rsidR="00904E4B">
        <w:t>each</w:t>
      </w:r>
      <w:r w:rsidR="00F046FF">
        <w:t xml:space="preserve"> layer. </w:t>
      </w:r>
    </w:p>
    <w:p w14:paraId="3F71201F" w14:textId="6929A0FE" w:rsidR="002A4C15" w:rsidRDefault="002A4C15" w:rsidP="002A4C15">
      <w:pPr>
        <w:pStyle w:val="Heading2"/>
      </w:pPr>
      <w:r>
        <w:t>Why TCO Consideration</w:t>
      </w:r>
    </w:p>
    <w:p w14:paraId="3B28A908" w14:textId="5D21B256" w:rsidR="002A4C15" w:rsidRDefault="004937C5" w:rsidP="002A4C15">
      <w:r>
        <w:t xml:space="preserve">Only 1% of CEO is getting ROI from AI based on 2025 report from McKinsey. The problem that most of these CEO have encountered is 1. They do not have clear objective to achieve with AI, 2. The value does not justify the expenses incurred. </w:t>
      </w:r>
    </w:p>
    <w:p w14:paraId="18330A4E" w14:textId="470F449A" w:rsidR="004937C5" w:rsidRDefault="004937C5" w:rsidP="002A4C15">
      <w:r>
        <w:t xml:space="preserve">A TCO analysis with appropriate trade offs will assist C-levels to appropriately estimate the return based on the KPI / AI objectives. </w:t>
      </w:r>
    </w:p>
    <w:p w14:paraId="6CAAC307" w14:textId="588DA1B6" w:rsidR="004937C5" w:rsidRDefault="004937C5" w:rsidP="002A4C15">
      <w:pPr>
        <w:pStyle w:val="Heading2"/>
      </w:pPr>
      <w:r>
        <w:t>Cost Impact of Architectural lens</w:t>
      </w:r>
    </w:p>
    <w:tbl>
      <w:tblPr>
        <w:tblStyle w:val="TableGrid"/>
        <w:tblW w:w="0" w:type="auto"/>
        <w:tblLook w:val="04A0" w:firstRow="1" w:lastRow="0" w:firstColumn="1" w:lastColumn="0" w:noHBand="0" w:noVBand="1"/>
      </w:tblPr>
      <w:tblGrid>
        <w:gridCol w:w="2335"/>
        <w:gridCol w:w="3420"/>
        <w:gridCol w:w="3261"/>
      </w:tblGrid>
      <w:tr w:rsidR="009E3452" w14:paraId="6870326E" w14:textId="77777777" w:rsidTr="009E3452">
        <w:tc>
          <w:tcPr>
            <w:tcW w:w="2335" w:type="dxa"/>
          </w:tcPr>
          <w:p w14:paraId="1C5BB366" w14:textId="1734AEDD" w:rsidR="009E3452" w:rsidRPr="009E3452" w:rsidRDefault="009E3452" w:rsidP="009E3452">
            <w:pPr>
              <w:rPr>
                <w:b/>
                <w:bCs/>
              </w:rPr>
            </w:pPr>
            <w:r w:rsidRPr="009E3452">
              <w:rPr>
                <w:b/>
                <w:bCs/>
              </w:rPr>
              <w:t>Lens</w:t>
            </w:r>
          </w:p>
        </w:tc>
        <w:tc>
          <w:tcPr>
            <w:tcW w:w="3420" w:type="dxa"/>
          </w:tcPr>
          <w:p w14:paraId="04FE1AFD" w14:textId="24286977" w:rsidR="009E3452" w:rsidRPr="009E3452" w:rsidRDefault="009E3452" w:rsidP="009E3452">
            <w:pPr>
              <w:rPr>
                <w:b/>
                <w:bCs/>
              </w:rPr>
            </w:pPr>
            <w:r w:rsidRPr="009E3452">
              <w:rPr>
                <w:b/>
                <w:bCs/>
              </w:rPr>
              <w:t>Impact</w:t>
            </w:r>
          </w:p>
        </w:tc>
        <w:tc>
          <w:tcPr>
            <w:tcW w:w="3261" w:type="dxa"/>
          </w:tcPr>
          <w:p w14:paraId="235E019A" w14:textId="154F2E6D" w:rsidR="009E3452" w:rsidRPr="009E3452" w:rsidRDefault="009E3452" w:rsidP="009E3452">
            <w:pPr>
              <w:rPr>
                <w:b/>
                <w:bCs/>
              </w:rPr>
            </w:pPr>
            <w:r w:rsidRPr="009E3452">
              <w:rPr>
                <w:b/>
                <w:bCs/>
              </w:rPr>
              <w:t>Notes / Considerations</w:t>
            </w:r>
          </w:p>
        </w:tc>
      </w:tr>
      <w:tr w:rsidR="009E3452" w14:paraId="3D86D0F3" w14:textId="77777777" w:rsidTr="009E3452">
        <w:tc>
          <w:tcPr>
            <w:tcW w:w="2335" w:type="dxa"/>
          </w:tcPr>
          <w:p w14:paraId="334B9CB9" w14:textId="41B5214B" w:rsidR="009E3452" w:rsidRDefault="009E3452" w:rsidP="009E3452">
            <w:r>
              <w:t>Availability</w:t>
            </w:r>
          </w:p>
        </w:tc>
        <w:tc>
          <w:tcPr>
            <w:tcW w:w="3420" w:type="dxa"/>
          </w:tcPr>
          <w:p w14:paraId="76C83B39" w14:textId="164B1689" w:rsidR="009E3452" w:rsidRDefault="009E3452" w:rsidP="009E3452">
            <w:proofErr w:type="gramStart"/>
            <w:r>
              <w:t>Usually</w:t>
            </w:r>
            <w:proofErr w:type="gramEnd"/>
            <w:r>
              <w:t xml:space="preserve"> providers take care of it. In general, higher availability may need a redundancy, which could mean failover to a different provider or in case of </w:t>
            </w:r>
            <w:proofErr w:type="spellStart"/>
            <w:r>
              <w:t>self hosted</w:t>
            </w:r>
            <w:proofErr w:type="spellEnd"/>
            <w:r>
              <w:t xml:space="preserve"> model, switch to alternate GPU compute</w:t>
            </w:r>
          </w:p>
        </w:tc>
        <w:tc>
          <w:tcPr>
            <w:tcW w:w="3261" w:type="dxa"/>
          </w:tcPr>
          <w:p w14:paraId="5E82CC3B" w14:textId="37B5383C" w:rsidR="009868BC" w:rsidRDefault="009868BC" w:rsidP="009868BC">
            <w:pPr>
              <w:pStyle w:val="ListParagraph"/>
              <w:numPr>
                <w:ilvl w:val="0"/>
                <w:numId w:val="1"/>
              </w:numPr>
            </w:pPr>
            <w:r>
              <w:t>Start with clear NFR requirement, take your entire business process into account. Can a manual failover work?</w:t>
            </w:r>
          </w:p>
          <w:p w14:paraId="7A94E7A0" w14:textId="020D97BD" w:rsidR="009E3452" w:rsidRDefault="009E3452" w:rsidP="009868BC">
            <w:pPr>
              <w:pStyle w:val="ListParagraph"/>
              <w:numPr>
                <w:ilvl w:val="0"/>
                <w:numId w:val="1"/>
              </w:numPr>
            </w:pPr>
            <w:r>
              <w:t xml:space="preserve">Consider managed services to start with. </w:t>
            </w:r>
          </w:p>
        </w:tc>
      </w:tr>
      <w:tr w:rsidR="009E3452" w14:paraId="4EA78FDA" w14:textId="77777777" w:rsidTr="009E3452">
        <w:tc>
          <w:tcPr>
            <w:tcW w:w="2335" w:type="dxa"/>
          </w:tcPr>
          <w:p w14:paraId="780ABC70" w14:textId="07AE8F8B" w:rsidR="009E3452" w:rsidRDefault="009E3452" w:rsidP="009E3452">
            <w:r>
              <w:t>Performance</w:t>
            </w:r>
          </w:p>
        </w:tc>
        <w:tc>
          <w:tcPr>
            <w:tcW w:w="3420" w:type="dxa"/>
          </w:tcPr>
          <w:p w14:paraId="4EEBFD70" w14:textId="1096AA05" w:rsidR="009E3452" w:rsidRDefault="009E3452" w:rsidP="009E3452">
            <w:r>
              <w:t xml:space="preserve">Depends. A small model, trained on specific context can cost much lesser than a </w:t>
            </w:r>
            <w:proofErr w:type="gramStart"/>
            <w:r>
              <w:t>general purpose</w:t>
            </w:r>
            <w:proofErr w:type="gramEnd"/>
            <w:r>
              <w:t xml:space="preserve"> model. If a GP model is prompt-</w:t>
            </w:r>
            <w:proofErr w:type="gramStart"/>
            <w:r>
              <w:t>optimised</w:t>
            </w:r>
            <w:proofErr w:type="gramEnd"/>
            <w:r>
              <w:t xml:space="preserve"> </w:t>
            </w:r>
            <w:r>
              <w:lastRenderedPageBreak/>
              <w:t>then it can perform well but may incur higher cost</w:t>
            </w:r>
          </w:p>
        </w:tc>
        <w:tc>
          <w:tcPr>
            <w:tcW w:w="3261" w:type="dxa"/>
          </w:tcPr>
          <w:p w14:paraId="75883B32" w14:textId="76FBC1FB" w:rsidR="009868BC" w:rsidRDefault="009868BC" w:rsidP="009868BC">
            <w:pPr>
              <w:pStyle w:val="ListParagraph"/>
              <w:numPr>
                <w:ilvl w:val="0"/>
                <w:numId w:val="2"/>
              </w:numPr>
            </w:pPr>
            <w:r>
              <w:lastRenderedPageBreak/>
              <w:t>Start with your performance requirements.</w:t>
            </w:r>
          </w:p>
          <w:p w14:paraId="4E668921" w14:textId="4D19E58D" w:rsidR="009E3452" w:rsidRDefault="009E3452" w:rsidP="009868BC">
            <w:pPr>
              <w:pStyle w:val="ListParagraph"/>
              <w:numPr>
                <w:ilvl w:val="0"/>
                <w:numId w:val="2"/>
              </w:numPr>
            </w:pPr>
            <w:r>
              <w:t>Test different model</w:t>
            </w:r>
            <w:r w:rsidR="009868BC">
              <w:t>s</w:t>
            </w:r>
            <w:r>
              <w:t xml:space="preserve"> </w:t>
            </w:r>
            <w:r w:rsidR="009868BC">
              <w:t>optimising</w:t>
            </w:r>
            <w:r>
              <w:t xml:space="preserve"> prompts. </w:t>
            </w:r>
            <w:r>
              <w:lastRenderedPageBreak/>
              <w:t xml:space="preserve">With different combinations, select one that’s best performing </w:t>
            </w:r>
            <w:r w:rsidR="009868BC">
              <w:t xml:space="preserve">for your use case </w:t>
            </w:r>
            <w:r>
              <w:t xml:space="preserve">with least cost. </w:t>
            </w:r>
          </w:p>
        </w:tc>
      </w:tr>
      <w:tr w:rsidR="009E3452" w14:paraId="5656CBB1" w14:textId="77777777" w:rsidTr="009E3452">
        <w:tc>
          <w:tcPr>
            <w:tcW w:w="2335" w:type="dxa"/>
          </w:tcPr>
          <w:p w14:paraId="21F9B0FE" w14:textId="3E7291A6" w:rsidR="009E3452" w:rsidRDefault="009E3452" w:rsidP="009E3452">
            <w:r>
              <w:lastRenderedPageBreak/>
              <w:t>Security and Privacy</w:t>
            </w:r>
          </w:p>
        </w:tc>
        <w:tc>
          <w:tcPr>
            <w:tcW w:w="3420" w:type="dxa"/>
          </w:tcPr>
          <w:p w14:paraId="0307BB3F" w14:textId="13AD8F53" w:rsidR="009E3452" w:rsidRDefault="009E3452" w:rsidP="009E3452">
            <w:r>
              <w:t>With regulatory requirements, self-hosting model will cost much more than the managed services / SaaS based model consumption</w:t>
            </w:r>
          </w:p>
        </w:tc>
        <w:tc>
          <w:tcPr>
            <w:tcW w:w="3261" w:type="dxa"/>
          </w:tcPr>
          <w:p w14:paraId="31947921" w14:textId="33C8651D" w:rsidR="009868BC" w:rsidRDefault="009868BC" w:rsidP="009868BC">
            <w:pPr>
              <w:pStyle w:val="ListParagraph"/>
              <w:numPr>
                <w:ilvl w:val="0"/>
                <w:numId w:val="3"/>
              </w:numPr>
            </w:pPr>
            <w:proofErr w:type="spellStart"/>
            <w:r>
              <w:t>Whats</w:t>
            </w:r>
            <w:proofErr w:type="spellEnd"/>
            <w:r>
              <w:t xml:space="preserve"> your </w:t>
            </w:r>
            <w:proofErr w:type="gramStart"/>
            <w:r>
              <w:t>minimum security</w:t>
            </w:r>
            <w:proofErr w:type="gramEnd"/>
            <w:r>
              <w:t xml:space="preserve"> requirements. Break them into “must have” and “should have”. </w:t>
            </w:r>
          </w:p>
          <w:p w14:paraId="5AA7117D" w14:textId="6AA7F3E5" w:rsidR="009E3452" w:rsidRDefault="009868BC" w:rsidP="009E3452">
            <w:pPr>
              <w:pStyle w:val="ListParagraph"/>
              <w:numPr>
                <w:ilvl w:val="0"/>
                <w:numId w:val="3"/>
              </w:numPr>
            </w:pPr>
            <w:r>
              <w:t>Evaluate enterprise capability from model provider / SaaS based consumption. If it works for your organisation without increasing risk surface, prefer that to self-hosting.</w:t>
            </w:r>
          </w:p>
        </w:tc>
      </w:tr>
      <w:tr w:rsidR="009E3452" w14:paraId="2F473699" w14:textId="77777777" w:rsidTr="009E3452">
        <w:tc>
          <w:tcPr>
            <w:tcW w:w="2335" w:type="dxa"/>
          </w:tcPr>
          <w:p w14:paraId="2E5CF6BC" w14:textId="1F174C4F" w:rsidR="009E3452" w:rsidRDefault="009E3452" w:rsidP="009E3452">
            <w:r>
              <w:t>Reliability</w:t>
            </w:r>
          </w:p>
        </w:tc>
        <w:tc>
          <w:tcPr>
            <w:tcW w:w="3420" w:type="dxa"/>
          </w:tcPr>
          <w:p w14:paraId="3F7256F3" w14:textId="2A610993" w:rsidR="009E3452" w:rsidRDefault="009E3452" w:rsidP="009E3452">
            <w:r>
              <w:t xml:space="preserve">Reliable response needs more </w:t>
            </w:r>
            <w:proofErr w:type="spellStart"/>
            <w:r>
              <w:t>groundedness</w:t>
            </w:r>
            <w:proofErr w:type="spellEnd"/>
            <w:r>
              <w:t xml:space="preserve">, better promoting and in some cases Fine-Tuning. </w:t>
            </w:r>
            <w:proofErr w:type="gramStart"/>
            <w:r>
              <w:t>Usually</w:t>
            </w:r>
            <w:proofErr w:type="gramEnd"/>
            <w:r>
              <w:t xml:space="preserve"> the cost is higher for a better reliable output</w:t>
            </w:r>
          </w:p>
        </w:tc>
        <w:tc>
          <w:tcPr>
            <w:tcW w:w="3261" w:type="dxa"/>
          </w:tcPr>
          <w:p w14:paraId="207E7B26" w14:textId="54B2D4B2" w:rsidR="009E3452" w:rsidRDefault="009E3452" w:rsidP="009E3452">
            <w:r>
              <w:t xml:space="preserve">Evaluate your use case. How much reliable output you need. Can you just do parameter settings of the model, or optimise the prompt or provide tooling and ground truths before considering Fine-Tuning? </w:t>
            </w:r>
          </w:p>
        </w:tc>
      </w:tr>
    </w:tbl>
    <w:p w14:paraId="262C951F" w14:textId="77777777" w:rsidR="009E3452" w:rsidRPr="009E3452" w:rsidRDefault="009E3452" w:rsidP="009E3452"/>
    <w:p w14:paraId="12700D10" w14:textId="65EBAF39" w:rsidR="002A4C15" w:rsidRDefault="00424D86" w:rsidP="002A4C15">
      <w:pPr>
        <w:pStyle w:val="Heading2"/>
      </w:pPr>
      <w:r>
        <w:rPr>
          <w:noProof/>
        </w:rPr>
        <w:lastRenderedPageBreak/>
        <mc:AlternateContent>
          <mc:Choice Requires="wps">
            <w:drawing>
              <wp:anchor distT="91440" distB="91440" distL="114300" distR="114300" simplePos="0" relativeHeight="251659264" behindDoc="0" locked="0" layoutInCell="1" allowOverlap="1" wp14:anchorId="3D029987" wp14:editId="51254849">
                <wp:simplePos x="0" y="0"/>
                <wp:positionH relativeFrom="margin">
                  <wp:align>right</wp:align>
                </wp:positionH>
                <wp:positionV relativeFrom="paragraph">
                  <wp:posOffset>358792</wp:posOffset>
                </wp:positionV>
                <wp:extent cx="573151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403985"/>
                        </a:xfrm>
                        <a:prstGeom prst="rect">
                          <a:avLst/>
                        </a:prstGeom>
                        <a:noFill/>
                        <a:ln w="9525">
                          <a:noFill/>
                          <a:miter lim="800000"/>
                          <a:headEnd/>
                          <a:tailEnd/>
                        </a:ln>
                      </wps:spPr>
                      <wps:txbx>
                        <w:txbxContent>
                          <w:p w14:paraId="7BAD88A2" w14:textId="77777777" w:rsidR="00B12792" w:rsidRPr="00B12792" w:rsidRDefault="00B12792" w:rsidP="00B12792">
                            <w:pPr>
                              <w:pBdr>
                                <w:top w:val="single" w:sz="24" w:space="8" w:color="156082" w:themeColor="accent1"/>
                                <w:bottom w:val="single" w:sz="24" w:space="8" w:color="156082" w:themeColor="accent1"/>
                              </w:pBdr>
                              <w:spacing w:after="0"/>
                              <w:rPr>
                                <w:i/>
                                <w:iCs/>
                                <w:color w:val="156082" w:themeColor="accent1"/>
                                <w:sz w:val="20"/>
                                <w:szCs w:val="20"/>
                                <w:lang w:val="en-US"/>
                              </w:rPr>
                            </w:pPr>
                            <w:r w:rsidRPr="00B12792">
                              <w:rPr>
                                <w:b/>
                                <w:bCs/>
                                <w:i/>
                                <w:iCs/>
                                <w:color w:val="156082" w:themeColor="accent1"/>
                                <w:sz w:val="20"/>
                                <w:szCs w:val="20"/>
                                <w:lang w:val="en-US"/>
                              </w:rPr>
                              <w:t>Key Financial Considerations Before Committing Investment</w:t>
                            </w:r>
                          </w:p>
                          <w:p w14:paraId="4B5F97AD" w14:textId="77777777" w:rsidR="00B12792" w:rsidRPr="00B12792" w:rsidRDefault="00B12792" w:rsidP="00B12792">
                            <w:pPr>
                              <w:pBdr>
                                <w:top w:val="single" w:sz="24" w:space="8" w:color="156082" w:themeColor="accent1"/>
                                <w:bottom w:val="single" w:sz="24" w:space="8" w:color="156082" w:themeColor="accent1"/>
                              </w:pBdr>
                              <w:spacing w:after="0"/>
                              <w:rPr>
                                <w:i/>
                                <w:iCs/>
                                <w:color w:val="156082" w:themeColor="accent1"/>
                                <w:sz w:val="20"/>
                                <w:szCs w:val="20"/>
                                <w:lang w:val="en-US"/>
                              </w:rPr>
                            </w:pPr>
                            <w:r w:rsidRPr="00B12792">
                              <w:rPr>
                                <w:i/>
                                <w:iCs/>
                                <w:color w:val="156082" w:themeColor="accent1"/>
                                <w:sz w:val="20"/>
                                <w:szCs w:val="20"/>
                                <w:lang w:val="en-US"/>
                              </w:rPr>
                              <w:t xml:space="preserve">Model your AI application costs across a </w:t>
                            </w:r>
                            <w:r w:rsidRPr="00B12792">
                              <w:rPr>
                                <w:b/>
                                <w:bCs/>
                                <w:i/>
                                <w:iCs/>
                                <w:color w:val="156082" w:themeColor="accent1"/>
                                <w:sz w:val="20"/>
                                <w:szCs w:val="20"/>
                                <w:lang w:val="en-US"/>
                              </w:rPr>
                              <w:t>3–</w:t>
                            </w:r>
                            <w:proofErr w:type="gramStart"/>
                            <w:r w:rsidRPr="00B12792">
                              <w:rPr>
                                <w:b/>
                                <w:bCs/>
                                <w:i/>
                                <w:iCs/>
                                <w:color w:val="156082" w:themeColor="accent1"/>
                                <w:sz w:val="20"/>
                                <w:szCs w:val="20"/>
                                <w:lang w:val="en-US"/>
                              </w:rPr>
                              <w:t>5 year</w:t>
                            </w:r>
                            <w:proofErr w:type="gramEnd"/>
                            <w:r w:rsidRPr="00B12792">
                              <w:rPr>
                                <w:b/>
                                <w:bCs/>
                                <w:i/>
                                <w:iCs/>
                                <w:color w:val="156082" w:themeColor="accent1"/>
                                <w:sz w:val="20"/>
                                <w:szCs w:val="20"/>
                                <w:lang w:val="en-US"/>
                              </w:rPr>
                              <w:t xml:space="preserve"> TCO horizon</w:t>
                            </w:r>
                            <w:r w:rsidRPr="00B12792">
                              <w:rPr>
                                <w:i/>
                                <w:iCs/>
                                <w:color w:val="156082" w:themeColor="accent1"/>
                                <w:sz w:val="20"/>
                                <w:szCs w:val="20"/>
                                <w:lang w:val="en-US"/>
                              </w:rPr>
                              <w:t>, not just initial build cost. Three factors drive the split:</w:t>
                            </w:r>
                          </w:p>
                          <w:p w14:paraId="2D4AA62F" w14:textId="77777777" w:rsidR="00B12792" w:rsidRPr="00B12792" w:rsidRDefault="00B12792" w:rsidP="00B12792">
                            <w:pPr>
                              <w:pBdr>
                                <w:top w:val="single" w:sz="24" w:space="8" w:color="156082" w:themeColor="accent1"/>
                                <w:bottom w:val="single" w:sz="24" w:space="8" w:color="156082" w:themeColor="accent1"/>
                              </w:pBdr>
                              <w:spacing w:after="0"/>
                              <w:rPr>
                                <w:i/>
                                <w:iCs/>
                                <w:color w:val="156082" w:themeColor="accent1"/>
                                <w:sz w:val="20"/>
                                <w:szCs w:val="20"/>
                                <w:lang w:val="en-US"/>
                              </w:rPr>
                            </w:pPr>
                            <w:proofErr w:type="spellStart"/>
                            <w:r w:rsidRPr="00B12792">
                              <w:rPr>
                                <w:b/>
                                <w:bCs/>
                                <w:i/>
                                <w:iCs/>
                                <w:color w:val="156082" w:themeColor="accent1"/>
                                <w:sz w:val="20"/>
                                <w:szCs w:val="20"/>
                                <w:lang w:val="en-US"/>
                              </w:rPr>
                              <w:t>CapEx</w:t>
                            </w:r>
                            <w:proofErr w:type="spellEnd"/>
                            <w:r w:rsidRPr="00B12792">
                              <w:rPr>
                                <w:b/>
                                <w:bCs/>
                                <w:i/>
                                <w:iCs/>
                                <w:color w:val="156082" w:themeColor="accent1"/>
                                <w:sz w:val="20"/>
                                <w:szCs w:val="20"/>
                                <w:lang w:val="en-US"/>
                              </w:rPr>
                              <w:t>-intensive phases</w:t>
                            </w:r>
                            <w:r w:rsidRPr="00B12792">
                              <w:rPr>
                                <w:i/>
                                <w:iCs/>
                                <w:color w:val="156082" w:themeColor="accent1"/>
                                <w:sz w:val="20"/>
                                <w:szCs w:val="20"/>
                                <w:lang w:val="en-US"/>
                              </w:rPr>
                              <w:t xml:space="preserve"> are project initiation, data pipeline build, and fine-tuning </w:t>
                            </w:r>
                            <w:r>
                              <w:rPr>
                                <w:i/>
                                <w:iCs/>
                                <w:color w:val="156082" w:themeColor="accent1"/>
                                <w:sz w:val="20"/>
                                <w:szCs w:val="20"/>
                                <w:lang w:val="en-US"/>
                              </w:rPr>
                              <w:t>-</w:t>
                            </w:r>
                            <w:r w:rsidRPr="00B12792">
                              <w:rPr>
                                <w:i/>
                                <w:iCs/>
                                <w:color w:val="156082" w:themeColor="accent1"/>
                                <w:sz w:val="20"/>
                                <w:szCs w:val="20"/>
                                <w:lang w:val="en-US"/>
                              </w:rPr>
                              <w:t xml:space="preserve"> where work produces a long-lived, </w:t>
                            </w:r>
                            <w:proofErr w:type="spellStart"/>
                            <w:r w:rsidRPr="00B12792">
                              <w:rPr>
                                <w:i/>
                                <w:iCs/>
                                <w:color w:val="156082" w:themeColor="accent1"/>
                                <w:sz w:val="20"/>
                                <w:szCs w:val="20"/>
                                <w:lang w:val="en-US"/>
                              </w:rPr>
                              <w:t>capitalisable</w:t>
                            </w:r>
                            <w:proofErr w:type="spellEnd"/>
                            <w:r w:rsidRPr="00B12792">
                              <w:rPr>
                                <w:i/>
                                <w:iCs/>
                                <w:color w:val="156082" w:themeColor="accent1"/>
                                <w:sz w:val="20"/>
                                <w:szCs w:val="20"/>
                                <w:lang w:val="en-US"/>
                              </w:rPr>
                              <w:t xml:space="preserve"> asset under IAS 38 / ASC 350.</w:t>
                            </w:r>
                          </w:p>
                          <w:p w14:paraId="23D626DA" w14:textId="77777777" w:rsidR="00B12792" w:rsidRPr="00B12792" w:rsidRDefault="00B12792" w:rsidP="00B12792">
                            <w:pPr>
                              <w:pBdr>
                                <w:top w:val="single" w:sz="24" w:space="8" w:color="156082" w:themeColor="accent1"/>
                                <w:bottom w:val="single" w:sz="24" w:space="8" w:color="156082" w:themeColor="accent1"/>
                              </w:pBdr>
                              <w:spacing w:after="0"/>
                              <w:rPr>
                                <w:i/>
                                <w:iCs/>
                                <w:color w:val="156082" w:themeColor="accent1"/>
                                <w:sz w:val="20"/>
                                <w:szCs w:val="20"/>
                                <w:lang w:val="en-US"/>
                              </w:rPr>
                            </w:pPr>
                            <w:proofErr w:type="spellStart"/>
                            <w:r w:rsidRPr="00B12792">
                              <w:rPr>
                                <w:b/>
                                <w:bCs/>
                                <w:i/>
                                <w:iCs/>
                                <w:color w:val="156082" w:themeColor="accent1"/>
                                <w:sz w:val="20"/>
                                <w:szCs w:val="20"/>
                                <w:lang w:val="en-US"/>
                              </w:rPr>
                              <w:t>OpEx</w:t>
                            </w:r>
                            <w:proofErr w:type="spellEnd"/>
                            <w:r w:rsidRPr="00B12792">
                              <w:rPr>
                                <w:b/>
                                <w:bCs/>
                                <w:i/>
                                <w:iCs/>
                                <w:color w:val="156082" w:themeColor="accent1"/>
                                <w:sz w:val="20"/>
                                <w:szCs w:val="20"/>
                                <w:lang w:val="en-US"/>
                              </w:rPr>
                              <w:t>-dominant ongoing costs</w:t>
                            </w:r>
                            <w:r w:rsidRPr="00B12792">
                              <w:rPr>
                                <w:i/>
                                <w:iCs/>
                                <w:color w:val="156082" w:themeColor="accent1"/>
                                <w:sz w:val="20"/>
                                <w:szCs w:val="20"/>
                                <w:lang w:val="en-US"/>
                              </w:rPr>
                              <w:t xml:space="preserve"> include monitoring, auditing, security operations, and inference consumption </w:t>
                            </w:r>
                            <w:proofErr w:type="gramStart"/>
                            <w:r>
                              <w:rPr>
                                <w:i/>
                                <w:iCs/>
                                <w:color w:val="156082" w:themeColor="accent1"/>
                                <w:sz w:val="20"/>
                                <w:szCs w:val="20"/>
                                <w:lang w:val="en-US"/>
                              </w:rPr>
                              <w:t xml:space="preserve">- </w:t>
                            </w:r>
                            <w:r w:rsidRPr="00B12792">
                              <w:rPr>
                                <w:i/>
                                <w:iCs/>
                                <w:color w:val="156082" w:themeColor="accent1"/>
                                <w:sz w:val="20"/>
                                <w:szCs w:val="20"/>
                                <w:lang w:val="en-US"/>
                              </w:rPr>
                              <w:t xml:space="preserve"> frequently</w:t>
                            </w:r>
                            <w:proofErr w:type="gramEnd"/>
                            <w:r w:rsidRPr="00B12792">
                              <w:rPr>
                                <w:i/>
                                <w:iCs/>
                                <w:color w:val="156082" w:themeColor="accent1"/>
                                <w:sz w:val="20"/>
                                <w:szCs w:val="20"/>
                                <w:lang w:val="en-US"/>
                              </w:rPr>
                              <w:t xml:space="preserve"> underestimated in initial business cases.</w:t>
                            </w:r>
                          </w:p>
                          <w:p w14:paraId="699D4180" w14:textId="77777777" w:rsidR="00B12792" w:rsidRPr="00B12792" w:rsidRDefault="00B12792" w:rsidP="00B12792">
                            <w:pPr>
                              <w:pBdr>
                                <w:top w:val="single" w:sz="24" w:space="8" w:color="156082" w:themeColor="accent1"/>
                                <w:bottom w:val="single" w:sz="24" w:space="8" w:color="156082" w:themeColor="accent1"/>
                              </w:pBdr>
                              <w:spacing w:after="0"/>
                              <w:rPr>
                                <w:i/>
                                <w:iCs/>
                                <w:color w:val="156082" w:themeColor="accent1"/>
                                <w:sz w:val="20"/>
                                <w:szCs w:val="20"/>
                                <w:lang w:val="en-US"/>
                              </w:rPr>
                            </w:pPr>
                            <w:r w:rsidRPr="00B12792">
                              <w:rPr>
                                <w:b/>
                                <w:bCs/>
                                <w:i/>
                                <w:iCs/>
                                <w:color w:val="156082" w:themeColor="accent1"/>
                                <w:sz w:val="20"/>
                                <w:szCs w:val="20"/>
                                <w:lang w:val="en-US"/>
                              </w:rPr>
                              <w:t>Hosting model is the primary swing point:</w:t>
                            </w:r>
                            <w:r w:rsidRPr="00B12792">
                              <w:rPr>
                                <w:i/>
                                <w:iCs/>
                                <w:color w:val="156082" w:themeColor="accent1"/>
                                <w:sz w:val="20"/>
                                <w:szCs w:val="20"/>
                                <w:lang w:val="en-US"/>
                              </w:rPr>
                              <w:t xml:space="preserve"> Self-hosted infrastructure = </w:t>
                            </w:r>
                            <w:proofErr w:type="spellStart"/>
                            <w:r w:rsidRPr="00B12792">
                              <w:rPr>
                                <w:i/>
                                <w:iCs/>
                                <w:color w:val="156082" w:themeColor="accent1"/>
                                <w:sz w:val="20"/>
                                <w:szCs w:val="20"/>
                                <w:lang w:val="en-US"/>
                              </w:rPr>
                              <w:t>CapEx</w:t>
                            </w:r>
                            <w:proofErr w:type="spellEnd"/>
                            <w:r w:rsidRPr="00B12792">
                              <w:rPr>
                                <w:i/>
                                <w:iCs/>
                                <w:color w:val="156082" w:themeColor="accent1"/>
                                <w:sz w:val="20"/>
                                <w:szCs w:val="20"/>
                                <w:lang w:val="en-US"/>
                              </w:rPr>
                              <w:t xml:space="preserve"> (procurement) + </w:t>
                            </w:r>
                            <w:proofErr w:type="spellStart"/>
                            <w:r w:rsidRPr="00B12792">
                              <w:rPr>
                                <w:i/>
                                <w:iCs/>
                                <w:color w:val="156082" w:themeColor="accent1"/>
                                <w:sz w:val="20"/>
                                <w:szCs w:val="20"/>
                                <w:lang w:val="en-US"/>
                              </w:rPr>
                              <w:t>OpEx</w:t>
                            </w:r>
                            <w:proofErr w:type="spellEnd"/>
                            <w:r w:rsidRPr="00B12792">
                              <w:rPr>
                                <w:i/>
                                <w:iCs/>
                                <w:color w:val="156082" w:themeColor="accent1"/>
                                <w:sz w:val="20"/>
                                <w:szCs w:val="20"/>
                                <w:lang w:val="en-US"/>
                              </w:rPr>
                              <w:t xml:space="preserve"> (operations). SaaS/cloud = </w:t>
                            </w:r>
                            <w:proofErr w:type="spellStart"/>
                            <w:r w:rsidRPr="00B12792">
                              <w:rPr>
                                <w:i/>
                                <w:iCs/>
                                <w:color w:val="156082" w:themeColor="accent1"/>
                                <w:sz w:val="20"/>
                                <w:szCs w:val="20"/>
                                <w:lang w:val="en-US"/>
                              </w:rPr>
                              <w:t>OpEx</w:t>
                            </w:r>
                            <w:proofErr w:type="spellEnd"/>
                            <w:r w:rsidRPr="00B12792">
                              <w:rPr>
                                <w:i/>
                                <w:iCs/>
                                <w:color w:val="156082" w:themeColor="accent1"/>
                                <w:sz w:val="20"/>
                                <w:szCs w:val="20"/>
                                <w:lang w:val="en-US"/>
                              </w:rPr>
                              <w:t xml:space="preserve"> (subscription and consumption). This decision has material balance sheet implications and should be modelled explicitly before architecture commitment.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029987" id="_x0000_t202" coordsize="21600,21600" o:spt="202" path="m,l,21600r21600,l21600,xe">
                <v:stroke joinstyle="miter"/>
                <v:path gradientshapeok="t" o:connecttype="rect"/>
              </v:shapetype>
              <v:shape id="Text Box 2" o:spid="_x0000_s1026" type="#_x0000_t202" style="position:absolute;margin-left:400.1pt;margin-top:28.25pt;width:451.3pt;height:110.55pt;z-index:251659264;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" filled="f" stroked="f">
                <v:textbox style="mso-fit-shape-to-text:t">
                  <w:txbxContent>
                    <w:p w14:paraId="7BAD88A2" w14:textId="77777777" w:rsidR="00B12792" w:rsidRPr="00B12792" w:rsidRDefault="00B12792" w:rsidP="00B12792">
                      <w:pPr>
                        <w:pBdr>
                          <w:top w:val="single" w:sz="24" w:space="8" w:color="156082" w:themeColor="accent1"/>
                          <w:bottom w:val="single" w:sz="24" w:space="8" w:color="156082" w:themeColor="accent1"/>
                        </w:pBdr>
                        <w:spacing w:after="0"/>
                        <w:rPr>
                          <w:i/>
                          <w:iCs/>
                          <w:color w:val="156082" w:themeColor="accent1"/>
                          <w:sz w:val="20"/>
                          <w:szCs w:val="20"/>
                          <w:lang w:val="en-US"/>
                        </w:rPr>
                      </w:pPr>
                      <w:r w:rsidRPr="00B12792">
                        <w:rPr>
                          <w:b/>
                          <w:bCs/>
                          <w:i/>
                          <w:iCs/>
                          <w:color w:val="156082" w:themeColor="accent1"/>
                          <w:sz w:val="20"/>
                          <w:szCs w:val="20"/>
                          <w:lang w:val="en-US"/>
                        </w:rPr>
                        <w:t>Key Financial Considerations Before Committing Investment</w:t>
                      </w:r>
                    </w:p>
                    <w:p w14:paraId="4B5F97AD" w14:textId="77777777" w:rsidR="00B12792" w:rsidRPr="00B12792" w:rsidRDefault="00B12792" w:rsidP="00B12792">
                      <w:pPr>
                        <w:pBdr>
                          <w:top w:val="single" w:sz="24" w:space="8" w:color="156082" w:themeColor="accent1"/>
                          <w:bottom w:val="single" w:sz="24" w:space="8" w:color="156082" w:themeColor="accent1"/>
                        </w:pBdr>
                        <w:spacing w:after="0"/>
                        <w:rPr>
                          <w:i/>
                          <w:iCs/>
                          <w:color w:val="156082" w:themeColor="accent1"/>
                          <w:sz w:val="20"/>
                          <w:szCs w:val="20"/>
                          <w:lang w:val="en-US"/>
                        </w:rPr>
                      </w:pPr>
                      <w:r w:rsidRPr="00B12792">
                        <w:rPr>
                          <w:i/>
                          <w:iCs/>
                          <w:color w:val="156082" w:themeColor="accent1"/>
                          <w:sz w:val="20"/>
                          <w:szCs w:val="20"/>
                          <w:lang w:val="en-US"/>
                        </w:rPr>
                        <w:t xml:space="preserve">Model your AI application costs across a </w:t>
                      </w:r>
                      <w:r w:rsidRPr="00B12792">
                        <w:rPr>
                          <w:b/>
                          <w:bCs/>
                          <w:i/>
                          <w:iCs/>
                          <w:color w:val="156082" w:themeColor="accent1"/>
                          <w:sz w:val="20"/>
                          <w:szCs w:val="20"/>
                          <w:lang w:val="en-US"/>
                        </w:rPr>
                        <w:t>3–</w:t>
                      </w:r>
                      <w:proofErr w:type="gramStart"/>
                      <w:r w:rsidRPr="00B12792">
                        <w:rPr>
                          <w:b/>
                          <w:bCs/>
                          <w:i/>
                          <w:iCs/>
                          <w:color w:val="156082" w:themeColor="accent1"/>
                          <w:sz w:val="20"/>
                          <w:szCs w:val="20"/>
                          <w:lang w:val="en-US"/>
                        </w:rPr>
                        <w:t>5 year</w:t>
                      </w:r>
                      <w:proofErr w:type="gramEnd"/>
                      <w:r w:rsidRPr="00B12792">
                        <w:rPr>
                          <w:b/>
                          <w:bCs/>
                          <w:i/>
                          <w:iCs/>
                          <w:color w:val="156082" w:themeColor="accent1"/>
                          <w:sz w:val="20"/>
                          <w:szCs w:val="20"/>
                          <w:lang w:val="en-US"/>
                        </w:rPr>
                        <w:t xml:space="preserve"> TCO horizon</w:t>
                      </w:r>
                      <w:r w:rsidRPr="00B12792">
                        <w:rPr>
                          <w:i/>
                          <w:iCs/>
                          <w:color w:val="156082" w:themeColor="accent1"/>
                          <w:sz w:val="20"/>
                          <w:szCs w:val="20"/>
                          <w:lang w:val="en-US"/>
                        </w:rPr>
                        <w:t>, not just initial build cost. Three factors drive the split:</w:t>
                      </w:r>
                    </w:p>
                    <w:p w14:paraId="2D4AA62F" w14:textId="77777777" w:rsidR="00B12792" w:rsidRPr="00B12792" w:rsidRDefault="00B12792" w:rsidP="00B12792">
                      <w:pPr>
                        <w:pBdr>
                          <w:top w:val="single" w:sz="24" w:space="8" w:color="156082" w:themeColor="accent1"/>
                          <w:bottom w:val="single" w:sz="24" w:space="8" w:color="156082" w:themeColor="accent1"/>
                        </w:pBdr>
                        <w:spacing w:after="0"/>
                        <w:rPr>
                          <w:i/>
                          <w:iCs/>
                          <w:color w:val="156082" w:themeColor="accent1"/>
                          <w:sz w:val="20"/>
                          <w:szCs w:val="20"/>
                          <w:lang w:val="en-US"/>
                        </w:rPr>
                      </w:pPr>
                      <w:proofErr w:type="spellStart"/>
                      <w:r w:rsidRPr="00B12792">
                        <w:rPr>
                          <w:b/>
                          <w:bCs/>
                          <w:i/>
                          <w:iCs/>
                          <w:color w:val="156082" w:themeColor="accent1"/>
                          <w:sz w:val="20"/>
                          <w:szCs w:val="20"/>
                          <w:lang w:val="en-US"/>
                        </w:rPr>
                        <w:t>CapEx</w:t>
                      </w:r>
                      <w:proofErr w:type="spellEnd"/>
                      <w:r w:rsidRPr="00B12792">
                        <w:rPr>
                          <w:b/>
                          <w:bCs/>
                          <w:i/>
                          <w:iCs/>
                          <w:color w:val="156082" w:themeColor="accent1"/>
                          <w:sz w:val="20"/>
                          <w:szCs w:val="20"/>
                          <w:lang w:val="en-US"/>
                        </w:rPr>
                        <w:t>-intensive phases</w:t>
                      </w:r>
                      <w:r w:rsidRPr="00B12792">
                        <w:rPr>
                          <w:i/>
                          <w:iCs/>
                          <w:color w:val="156082" w:themeColor="accent1"/>
                          <w:sz w:val="20"/>
                          <w:szCs w:val="20"/>
                          <w:lang w:val="en-US"/>
                        </w:rPr>
                        <w:t xml:space="preserve"> are project initiation, data pipeline build, and fine-tuning </w:t>
                      </w:r>
                      <w:r>
                        <w:rPr>
                          <w:i/>
                          <w:iCs/>
                          <w:color w:val="156082" w:themeColor="accent1"/>
                          <w:sz w:val="20"/>
                          <w:szCs w:val="20"/>
                          <w:lang w:val="en-US"/>
                        </w:rPr>
                        <w:t>-</w:t>
                      </w:r>
                      <w:r w:rsidRPr="00B12792">
                        <w:rPr>
                          <w:i/>
                          <w:iCs/>
                          <w:color w:val="156082" w:themeColor="accent1"/>
                          <w:sz w:val="20"/>
                          <w:szCs w:val="20"/>
                          <w:lang w:val="en-US"/>
                        </w:rPr>
                        <w:t xml:space="preserve"> where work produces a long-lived, </w:t>
                      </w:r>
                      <w:proofErr w:type="spellStart"/>
                      <w:r w:rsidRPr="00B12792">
                        <w:rPr>
                          <w:i/>
                          <w:iCs/>
                          <w:color w:val="156082" w:themeColor="accent1"/>
                          <w:sz w:val="20"/>
                          <w:szCs w:val="20"/>
                          <w:lang w:val="en-US"/>
                        </w:rPr>
                        <w:t>capitalisable</w:t>
                      </w:r>
                      <w:proofErr w:type="spellEnd"/>
                      <w:r w:rsidRPr="00B12792">
                        <w:rPr>
                          <w:i/>
                          <w:iCs/>
                          <w:color w:val="156082" w:themeColor="accent1"/>
                          <w:sz w:val="20"/>
                          <w:szCs w:val="20"/>
                          <w:lang w:val="en-US"/>
                        </w:rPr>
                        <w:t xml:space="preserve"> asset under IAS 38 / ASC 350.</w:t>
                      </w:r>
                    </w:p>
                    <w:p w14:paraId="23D626DA" w14:textId="77777777" w:rsidR="00B12792" w:rsidRPr="00B12792" w:rsidRDefault="00B12792" w:rsidP="00B12792">
                      <w:pPr>
                        <w:pBdr>
                          <w:top w:val="single" w:sz="24" w:space="8" w:color="156082" w:themeColor="accent1"/>
                          <w:bottom w:val="single" w:sz="24" w:space="8" w:color="156082" w:themeColor="accent1"/>
                        </w:pBdr>
                        <w:spacing w:after="0"/>
                        <w:rPr>
                          <w:i/>
                          <w:iCs/>
                          <w:color w:val="156082" w:themeColor="accent1"/>
                          <w:sz w:val="20"/>
                          <w:szCs w:val="20"/>
                          <w:lang w:val="en-US"/>
                        </w:rPr>
                      </w:pPr>
                      <w:proofErr w:type="spellStart"/>
                      <w:r w:rsidRPr="00B12792">
                        <w:rPr>
                          <w:b/>
                          <w:bCs/>
                          <w:i/>
                          <w:iCs/>
                          <w:color w:val="156082" w:themeColor="accent1"/>
                          <w:sz w:val="20"/>
                          <w:szCs w:val="20"/>
                          <w:lang w:val="en-US"/>
                        </w:rPr>
                        <w:t>OpEx</w:t>
                      </w:r>
                      <w:proofErr w:type="spellEnd"/>
                      <w:r w:rsidRPr="00B12792">
                        <w:rPr>
                          <w:b/>
                          <w:bCs/>
                          <w:i/>
                          <w:iCs/>
                          <w:color w:val="156082" w:themeColor="accent1"/>
                          <w:sz w:val="20"/>
                          <w:szCs w:val="20"/>
                          <w:lang w:val="en-US"/>
                        </w:rPr>
                        <w:t>-dominant ongoing costs</w:t>
                      </w:r>
                      <w:r w:rsidRPr="00B12792">
                        <w:rPr>
                          <w:i/>
                          <w:iCs/>
                          <w:color w:val="156082" w:themeColor="accent1"/>
                          <w:sz w:val="20"/>
                          <w:szCs w:val="20"/>
                          <w:lang w:val="en-US"/>
                        </w:rPr>
                        <w:t xml:space="preserve"> include monitoring, auditing, security operations, and inference consumption </w:t>
                      </w:r>
                      <w:proofErr w:type="gramStart"/>
                      <w:r>
                        <w:rPr>
                          <w:i/>
                          <w:iCs/>
                          <w:color w:val="156082" w:themeColor="accent1"/>
                          <w:sz w:val="20"/>
                          <w:szCs w:val="20"/>
                          <w:lang w:val="en-US"/>
                        </w:rPr>
                        <w:t xml:space="preserve">- </w:t>
                      </w:r>
                      <w:r w:rsidRPr="00B12792">
                        <w:rPr>
                          <w:i/>
                          <w:iCs/>
                          <w:color w:val="156082" w:themeColor="accent1"/>
                          <w:sz w:val="20"/>
                          <w:szCs w:val="20"/>
                          <w:lang w:val="en-US"/>
                        </w:rPr>
                        <w:t xml:space="preserve"> frequently</w:t>
                      </w:r>
                      <w:proofErr w:type="gramEnd"/>
                      <w:r w:rsidRPr="00B12792">
                        <w:rPr>
                          <w:i/>
                          <w:iCs/>
                          <w:color w:val="156082" w:themeColor="accent1"/>
                          <w:sz w:val="20"/>
                          <w:szCs w:val="20"/>
                          <w:lang w:val="en-US"/>
                        </w:rPr>
                        <w:t xml:space="preserve"> underestimated in initial business cases.</w:t>
                      </w:r>
                    </w:p>
                    <w:p w14:paraId="699D4180" w14:textId="77777777" w:rsidR="00B12792" w:rsidRPr="00B12792" w:rsidRDefault="00B12792" w:rsidP="00B12792">
                      <w:pPr>
                        <w:pBdr>
                          <w:top w:val="single" w:sz="24" w:space="8" w:color="156082" w:themeColor="accent1"/>
                          <w:bottom w:val="single" w:sz="24" w:space="8" w:color="156082" w:themeColor="accent1"/>
                        </w:pBdr>
                        <w:spacing w:after="0"/>
                        <w:rPr>
                          <w:i/>
                          <w:iCs/>
                          <w:color w:val="156082" w:themeColor="accent1"/>
                          <w:sz w:val="20"/>
                          <w:szCs w:val="20"/>
                          <w:lang w:val="en-US"/>
                        </w:rPr>
                      </w:pPr>
                      <w:r w:rsidRPr="00B12792">
                        <w:rPr>
                          <w:b/>
                          <w:bCs/>
                          <w:i/>
                          <w:iCs/>
                          <w:color w:val="156082" w:themeColor="accent1"/>
                          <w:sz w:val="20"/>
                          <w:szCs w:val="20"/>
                          <w:lang w:val="en-US"/>
                        </w:rPr>
                        <w:t>Hosting model is the primary swing point:</w:t>
                      </w:r>
                      <w:r w:rsidRPr="00B12792">
                        <w:rPr>
                          <w:i/>
                          <w:iCs/>
                          <w:color w:val="156082" w:themeColor="accent1"/>
                          <w:sz w:val="20"/>
                          <w:szCs w:val="20"/>
                          <w:lang w:val="en-US"/>
                        </w:rPr>
                        <w:t xml:space="preserve"> Self-hosted infrastructure = </w:t>
                      </w:r>
                      <w:proofErr w:type="spellStart"/>
                      <w:r w:rsidRPr="00B12792">
                        <w:rPr>
                          <w:i/>
                          <w:iCs/>
                          <w:color w:val="156082" w:themeColor="accent1"/>
                          <w:sz w:val="20"/>
                          <w:szCs w:val="20"/>
                          <w:lang w:val="en-US"/>
                        </w:rPr>
                        <w:t>CapEx</w:t>
                      </w:r>
                      <w:proofErr w:type="spellEnd"/>
                      <w:r w:rsidRPr="00B12792">
                        <w:rPr>
                          <w:i/>
                          <w:iCs/>
                          <w:color w:val="156082" w:themeColor="accent1"/>
                          <w:sz w:val="20"/>
                          <w:szCs w:val="20"/>
                          <w:lang w:val="en-US"/>
                        </w:rPr>
                        <w:t xml:space="preserve"> (procurement) + </w:t>
                      </w:r>
                      <w:proofErr w:type="spellStart"/>
                      <w:r w:rsidRPr="00B12792">
                        <w:rPr>
                          <w:i/>
                          <w:iCs/>
                          <w:color w:val="156082" w:themeColor="accent1"/>
                          <w:sz w:val="20"/>
                          <w:szCs w:val="20"/>
                          <w:lang w:val="en-US"/>
                        </w:rPr>
                        <w:t>OpEx</w:t>
                      </w:r>
                      <w:proofErr w:type="spellEnd"/>
                      <w:r w:rsidRPr="00B12792">
                        <w:rPr>
                          <w:i/>
                          <w:iCs/>
                          <w:color w:val="156082" w:themeColor="accent1"/>
                          <w:sz w:val="20"/>
                          <w:szCs w:val="20"/>
                          <w:lang w:val="en-US"/>
                        </w:rPr>
                        <w:t xml:space="preserve"> (operations). SaaS/cloud = </w:t>
                      </w:r>
                      <w:proofErr w:type="spellStart"/>
                      <w:r w:rsidRPr="00B12792">
                        <w:rPr>
                          <w:i/>
                          <w:iCs/>
                          <w:color w:val="156082" w:themeColor="accent1"/>
                          <w:sz w:val="20"/>
                          <w:szCs w:val="20"/>
                          <w:lang w:val="en-US"/>
                        </w:rPr>
                        <w:t>OpEx</w:t>
                      </w:r>
                      <w:proofErr w:type="spellEnd"/>
                      <w:r w:rsidRPr="00B12792">
                        <w:rPr>
                          <w:i/>
                          <w:iCs/>
                          <w:color w:val="156082" w:themeColor="accent1"/>
                          <w:sz w:val="20"/>
                          <w:szCs w:val="20"/>
                          <w:lang w:val="en-US"/>
                        </w:rPr>
                        <w:t xml:space="preserve"> (subscription and consumption). This decision has material balance sheet implications and should be modelled explicitly before architecture commitment.</w:t>
                      </w:r>
                    </w:p>
                  </w:txbxContent>
                </v:textbox>
                <w10:wrap type="topAndBottom" anchorx="margin"/>
              </v:shape>
            </w:pict>
          </mc:Fallback>
        </mc:AlternateContent>
      </w:r>
      <w:proofErr w:type="spellStart"/>
      <w:r w:rsidR="002A4C15">
        <w:t>Opex</w:t>
      </w:r>
      <w:proofErr w:type="spellEnd"/>
      <w:r w:rsidR="002A4C15">
        <w:t xml:space="preserve"> vs Capex considerations against layers</w:t>
      </w:r>
    </w:p>
    <w:p w14:paraId="5FBE811E" w14:textId="6B1D8106" w:rsidR="008F32F4" w:rsidRPr="008F32F4" w:rsidRDefault="004E3396" w:rsidP="008F32F4">
      <w:pPr>
        <w:rPr>
          <w:lang w:val="en-US"/>
        </w:rPr>
      </w:pPr>
      <w:r>
        <w:rPr>
          <w:noProof/>
        </w:rPr>
        <w:drawing>
          <wp:inline distT="0" distB="0" distL="0" distR="0" wp14:anchorId="54FE300B" wp14:editId="66221989">
            <wp:extent cx="6209899" cy="3956685"/>
            <wp:effectExtent l="0" t="0" r="635" b="5715"/>
            <wp:docPr id="514577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33304" cy="3971598"/>
                    </a:xfrm>
                    <a:prstGeom prst="rect">
                      <a:avLst/>
                    </a:prstGeom>
                    <a:noFill/>
                    <a:ln>
                      <a:noFill/>
                    </a:ln>
                  </pic:spPr>
                </pic:pic>
              </a:graphicData>
            </a:graphic>
          </wp:inline>
        </w:drawing>
      </w:r>
    </w:p>
    <w:p w14:paraId="26A6F8C5" w14:textId="78256C24" w:rsidR="008F32F4" w:rsidRDefault="00424D86" w:rsidP="00424D86">
      <w:pPr>
        <w:pStyle w:val="Heading3"/>
      </w:pPr>
      <w:r>
        <w:t>Phase 1: Initiation</w:t>
      </w:r>
    </w:p>
    <w:p w14:paraId="48C34E4B" w14:textId="77777777" w:rsidR="00424D86" w:rsidRPr="00424D86" w:rsidRDefault="00424D86" w:rsidP="00424D86"/>
    <w:p w14:paraId="343E6BC9" w14:textId="77777777" w:rsidR="00424D86" w:rsidRPr="00424D86" w:rsidRDefault="00424D86" w:rsidP="00424D86"/>
    <w:p w14:paraId="78684E18" w14:textId="77777777" w:rsidR="00424D86" w:rsidRDefault="00424D86" w:rsidP="002A4C15"/>
    <w:p w14:paraId="161050A4" w14:textId="5F0F48EF" w:rsidR="002A4C15" w:rsidRDefault="002A4C15" w:rsidP="002A4C15">
      <w:pPr>
        <w:pStyle w:val="Heading2"/>
      </w:pPr>
      <w:r>
        <w:lastRenderedPageBreak/>
        <w:t>Conclusion</w:t>
      </w:r>
    </w:p>
    <w:p w14:paraId="615E91E5" w14:textId="4C0F461C" w:rsidR="00B12792" w:rsidRDefault="00AB418B" w:rsidP="002A4C15">
      <w:r w:rsidRPr="00AB418B">
        <w:t>While 92% of enterprises plan to increase AI investment, a substantial number of AI projects face severe budgetary challenges. Some findings suggest 80% of enterprise AI projects fail to deliver tangible ROI and drain budgets, largely due to hidden costs.</w:t>
      </w:r>
      <w:r>
        <w:t xml:space="preserve"> </w:t>
      </w:r>
    </w:p>
    <w:p w14:paraId="2EF12F08" w14:textId="2EB44E05" w:rsidR="00092AF9" w:rsidRDefault="003A7A4E" w:rsidP="002A4C15">
      <w:r>
        <w:t xml:space="preserve">While majority of </w:t>
      </w:r>
      <w:r w:rsidR="00FD2B7A">
        <w:t xml:space="preserve">executives account for upfront expenses, they </w:t>
      </w:r>
      <w:r w:rsidR="00BB6426">
        <w:t xml:space="preserve">tend to ignore long term operational expenses, which </w:t>
      </w:r>
      <w:r w:rsidR="00092AF9">
        <w:t xml:space="preserve">keep </w:t>
      </w:r>
      <w:r w:rsidR="00BB6426">
        <w:t xml:space="preserve">climbing </w:t>
      </w:r>
      <w:r w:rsidR="00092AF9">
        <w:t xml:space="preserve">with data requirements / refresh, </w:t>
      </w:r>
      <w:r w:rsidR="00370696">
        <w:t>model capability re-evaluations, continuous monitoring and hiring and retaining right talent.</w:t>
      </w:r>
    </w:p>
    <w:p w14:paraId="1C6414A6" w14:textId="17351C12" w:rsidR="002A4C15" w:rsidRDefault="002A4C15" w:rsidP="002A4C15">
      <w:pPr>
        <w:pStyle w:val="Heading2"/>
      </w:pPr>
      <w:r>
        <w:t>References</w:t>
      </w:r>
    </w:p>
    <w:p w14:paraId="390F4330" w14:textId="2B11460D" w:rsidR="00B12792" w:rsidRDefault="003F576D" w:rsidP="002A4C15">
      <w:hyperlink r:id="rId7" w:anchor=":~:text=However%2C%20on%2Dpremises%20setups%20require,direction%20without%20any%20extra%20fees" w:history="1">
        <w:r w:rsidRPr="001656CA">
          <w:rPr>
            <w:rStyle w:val="Hyperlink"/>
          </w:rPr>
          <w:t>https://xenoss.io/blog/total-cost-of-ownership-for-enterprise-ai#:~:text=However%2C%20on%2Dpremises%20setups%20require,direction%20without%20any%20extra%20fees</w:t>
        </w:r>
      </w:hyperlink>
      <w:r w:rsidRPr="003F576D">
        <w:t>.</w:t>
      </w:r>
    </w:p>
    <w:p w14:paraId="0314E1D3" w14:textId="3D762F1A" w:rsidR="003F576D" w:rsidRDefault="00424D86" w:rsidP="00424D86">
      <w:pPr>
        <w:tabs>
          <w:tab w:val="left" w:pos="3146"/>
        </w:tabs>
      </w:pPr>
      <w:hyperlink r:id="rId8" w:history="1">
        <w:r w:rsidRPr="00C138E6">
          <w:rPr>
            <w:rStyle w:val="Hyperlink"/>
          </w:rPr>
          <w:t>https://www.mckinsey.com/featured-insights/themes/the-takers-shapers-and-makers-of-gen-ai</w:t>
        </w:r>
      </w:hyperlink>
    </w:p>
    <w:p w14:paraId="256DA838" w14:textId="2B4E3C04" w:rsidR="00424D86" w:rsidRDefault="00424D86" w:rsidP="00424D86">
      <w:pPr>
        <w:tabs>
          <w:tab w:val="left" w:pos="3146"/>
        </w:tabs>
      </w:pPr>
      <w:hyperlink r:id="rId9" w:history="1">
        <w:r w:rsidRPr="00C138E6">
          <w:rPr>
            <w:rStyle w:val="Hyperlink"/>
          </w:rPr>
          <w:t>https://smartdev.com/how-much-does-it-cost-to-develop-generative-ai-chatbots-for-customer-service-in-banking/</w:t>
        </w:r>
      </w:hyperlink>
      <w:r>
        <w:t xml:space="preserve"> </w:t>
      </w:r>
    </w:p>
    <w:p w14:paraId="6EC310D7" w14:textId="0B258D3E" w:rsidR="00424D86" w:rsidRDefault="00AB7C38" w:rsidP="00424D86">
      <w:pPr>
        <w:tabs>
          <w:tab w:val="left" w:pos="3146"/>
        </w:tabs>
      </w:pPr>
      <w:hyperlink r:id="rId10" w:history="1">
        <w:r w:rsidRPr="00C138E6">
          <w:rPr>
            <w:rStyle w:val="Hyperlink"/>
          </w:rPr>
          <w:t>https://www.mckinsey.com/~/media/mckinsey/industries/financial%20services/our%20insights/scaling%20gen%20ai%20in%20banking%20choosing%20the%20best%20operating%20model/scaling-gen-ai-in-banking-choosing-the-best-operating-model.pdf?shouldIndex=false</w:t>
        </w:r>
      </w:hyperlink>
    </w:p>
    <w:p w14:paraId="5073DD87" w14:textId="579115AC" w:rsidR="00AB7C38" w:rsidRDefault="00AB7C38" w:rsidP="00424D86">
      <w:pPr>
        <w:tabs>
          <w:tab w:val="left" w:pos="3146"/>
        </w:tabs>
      </w:pPr>
      <w:hyperlink r:id="rId11" w:history="1">
        <w:r w:rsidRPr="00C138E6">
          <w:rPr>
            <w:rStyle w:val="Hyperlink"/>
          </w:rPr>
          <w:t>https://getdx.com/blog/ai-roi-enterprise/</w:t>
        </w:r>
      </w:hyperlink>
      <w:r>
        <w:t xml:space="preserve"> </w:t>
      </w:r>
    </w:p>
    <w:p w14:paraId="1DD33060" w14:textId="77777777" w:rsidR="00AB7C38" w:rsidRDefault="00AB7C38" w:rsidP="00424D86">
      <w:pPr>
        <w:tabs>
          <w:tab w:val="left" w:pos="3146"/>
        </w:tabs>
      </w:pPr>
    </w:p>
    <w:p w14:paraId="0A02C56D" w14:textId="1E3BF726" w:rsidR="002A4C15" w:rsidRDefault="002A4C15" w:rsidP="002A4C15">
      <w:pPr>
        <w:pStyle w:val="Heading2"/>
      </w:pPr>
      <w:r>
        <w:t xml:space="preserve">Appendix </w:t>
      </w:r>
    </w:p>
    <w:p w14:paraId="7A4218A6" w14:textId="0A3C8F11" w:rsidR="002A4C15" w:rsidRDefault="00424D86" w:rsidP="002A4C15">
      <w:r>
        <w:t xml:space="preserve">Let’s take an example of a lifecycle of Chatbot for a scale comparable to one of the big 4 Australian banks (Shaper): </w:t>
      </w:r>
    </w:p>
    <w:p w14:paraId="4FF92448" w14:textId="3DD4495B" w:rsidR="00424D86" w:rsidRDefault="00424D86" w:rsidP="00424D86">
      <w:pPr>
        <w:pStyle w:val="Heading3"/>
      </w:pPr>
      <w:r>
        <w:t>Key assumptions</w:t>
      </w:r>
    </w:p>
    <w:p w14:paraId="7C2D7C85" w14:textId="599AA65A" w:rsidR="00424D86" w:rsidRPr="00424D86" w:rsidRDefault="00424D86" w:rsidP="00424D86">
      <w:r>
        <w:t xml:space="preserve">RAG source: 100k+ documents, multiple data sources. </w:t>
      </w:r>
    </w:p>
    <w:tbl>
      <w:tblPr>
        <w:tblStyle w:val="TableGrid"/>
        <w:tblW w:w="0" w:type="auto"/>
        <w:tblLook w:val="04A0" w:firstRow="1" w:lastRow="0" w:firstColumn="1" w:lastColumn="0" w:noHBand="0" w:noVBand="1"/>
      </w:tblPr>
      <w:tblGrid>
        <w:gridCol w:w="1833"/>
        <w:gridCol w:w="1801"/>
        <w:gridCol w:w="1762"/>
        <w:gridCol w:w="1587"/>
        <w:gridCol w:w="2033"/>
      </w:tblGrid>
      <w:tr w:rsidR="00424D86" w14:paraId="242EBBFD" w14:textId="77777777" w:rsidTr="00424D86">
        <w:tc>
          <w:tcPr>
            <w:tcW w:w="1833" w:type="dxa"/>
          </w:tcPr>
          <w:p w14:paraId="0ED10895" w14:textId="48EB2707" w:rsidR="00424D86" w:rsidRPr="00424D86" w:rsidRDefault="00424D86" w:rsidP="002A4C15">
            <w:pPr>
              <w:rPr>
                <w:b/>
                <w:bCs/>
              </w:rPr>
            </w:pPr>
            <w:r w:rsidRPr="00424D86">
              <w:rPr>
                <w:b/>
                <w:bCs/>
              </w:rPr>
              <w:t>Activity</w:t>
            </w:r>
          </w:p>
        </w:tc>
        <w:tc>
          <w:tcPr>
            <w:tcW w:w="1801" w:type="dxa"/>
          </w:tcPr>
          <w:p w14:paraId="0442F959" w14:textId="0BF80140" w:rsidR="00424D86" w:rsidRPr="00424D86" w:rsidRDefault="00424D86" w:rsidP="002A4C15">
            <w:pPr>
              <w:rPr>
                <w:b/>
                <w:bCs/>
              </w:rPr>
            </w:pPr>
            <w:r w:rsidRPr="00424D86">
              <w:rPr>
                <w:b/>
                <w:bCs/>
              </w:rPr>
              <w:t>Capex</w:t>
            </w:r>
          </w:p>
        </w:tc>
        <w:tc>
          <w:tcPr>
            <w:tcW w:w="1762" w:type="dxa"/>
          </w:tcPr>
          <w:p w14:paraId="18648E2C" w14:textId="080FF894" w:rsidR="00424D86" w:rsidRPr="00424D86" w:rsidRDefault="00424D86" w:rsidP="002A4C15">
            <w:pPr>
              <w:rPr>
                <w:b/>
                <w:bCs/>
              </w:rPr>
            </w:pPr>
            <w:proofErr w:type="spellStart"/>
            <w:r w:rsidRPr="00424D86">
              <w:rPr>
                <w:b/>
                <w:bCs/>
              </w:rPr>
              <w:t>Opex</w:t>
            </w:r>
            <w:proofErr w:type="spellEnd"/>
            <w:r w:rsidR="00551854">
              <w:rPr>
                <w:b/>
                <w:bCs/>
              </w:rPr>
              <w:t xml:space="preserve"> (annual)</w:t>
            </w:r>
          </w:p>
        </w:tc>
        <w:tc>
          <w:tcPr>
            <w:tcW w:w="1587" w:type="dxa"/>
          </w:tcPr>
          <w:p w14:paraId="7186F673" w14:textId="5C7DC041" w:rsidR="00424D86" w:rsidRPr="00424D86" w:rsidRDefault="00424D86" w:rsidP="002A4C15">
            <w:pPr>
              <w:rPr>
                <w:b/>
                <w:bCs/>
              </w:rPr>
            </w:pPr>
            <w:r w:rsidRPr="00424D86">
              <w:rPr>
                <w:b/>
                <w:bCs/>
              </w:rPr>
              <w:t>Metrics</w:t>
            </w:r>
          </w:p>
        </w:tc>
        <w:tc>
          <w:tcPr>
            <w:tcW w:w="2033" w:type="dxa"/>
          </w:tcPr>
          <w:p w14:paraId="64AEE25B" w14:textId="702C8530" w:rsidR="00424D86" w:rsidRPr="00424D86" w:rsidRDefault="00551854" w:rsidP="002A4C15">
            <w:pPr>
              <w:rPr>
                <w:b/>
                <w:bCs/>
              </w:rPr>
            </w:pPr>
            <w:r>
              <w:rPr>
                <w:b/>
                <w:bCs/>
              </w:rPr>
              <w:t>Risk</w:t>
            </w:r>
          </w:p>
        </w:tc>
      </w:tr>
      <w:tr w:rsidR="00424D86" w14:paraId="0760CE92" w14:textId="77777777" w:rsidTr="00424D86">
        <w:tc>
          <w:tcPr>
            <w:tcW w:w="1833" w:type="dxa"/>
          </w:tcPr>
          <w:p w14:paraId="2FEEA736" w14:textId="442FD968" w:rsidR="00424D86" w:rsidRDefault="00424D86" w:rsidP="002A4C15">
            <w:r>
              <w:t>Initiation</w:t>
            </w:r>
          </w:p>
        </w:tc>
        <w:tc>
          <w:tcPr>
            <w:tcW w:w="1801" w:type="dxa"/>
          </w:tcPr>
          <w:p w14:paraId="71919556" w14:textId="3E171080" w:rsidR="00424D86" w:rsidRDefault="00551854" w:rsidP="002A4C15">
            <w:r>
              <w:t>100k</w:t>
            </w:r>
          </w:p>
        </w:tc>
        <w:tc>
          <w:tcPr>
            <w:tcW w:w="1762" w:type="dxa"/>
          </w:tcPr>
          <w:p w14:paraId="791AF275" w14:textId="374A7688" w:rsidR="00424D86" w:rsidRDefault="00551854" w:rsidP="002A4C15">
            <w:r>
              <w:t>72k</w:t>
            </w:r>
          </w:p>
        </w:tc>
        <w:tc>
          <w:tcPr>
            <w:tcW w:w="1587" w:type="dxa"/>
          </w:tcPr>
          <w:p w14:paraId="2FD3E70B" w14:textId="78A7749D" w:rsidR="00424D86" w:rsidRDefault="00551854" w:rsidP="002A4C15">
            <w:r>
              <w:t xml:space="preserve">Business case and scope approved for at least 1 use case. </w:t>
            </w:r>
          </w:p>
        </w:tc>
        <w:tc>
          <w:tcPr>
            <w:tcW w:w="2033" w:type="dxa"/>
          </w:tcPr>
          <w:p w14:paraId="19D47A34" w14:textId="750B57F9" w:rsidR="00424D86" w:rsidRDefault="00551854" w:rsidP="002A4C15">
            <w:r>
              <w:t xml:space="preserve">Weak / irrelevant KPIs may not justify the investment. </w:t>
            </w:r>
          </w:p>
        </w:tc>
      </w:tr>
      <w:tr w:rsidR="00424D86" w14:paraId="7F4F9E58" w14:textId="77777777" w:rsidTr="00424D86">
        <w:tc>
          <w:tcPr>
            <w:tcW w:w="1833" w:type="dxa"/>
          </w:tcPr>
          <w:p w14:paraId="27E17AED" w14:textId="5B89DDC9" w:rsidR="00424D86" w:rsidRDefault="00424D86" w:rsidP="00424D86">
            <w:r>
              <w:t>Data preparation</w:t>
            </w:r>
          </w:p>
        </w:tc>
        <w:tc>
          <w:tcPr>
            <w:tcW w:w="1801" w:type="dxa"/>
          </w:tcPr>
          <w:p w14:paraId="10359F4E" w14:textId="77777777" w:rsidR="00424D86" w:rsidRDefault="00424D86" w:rsidP="00424D86"/>
        </w:tc>
        <w:tc>
          <w:tcPr>
            <w:tcW w:w="1762" w:type="dxa"/>
          </w:tcPr>
          <w:p w14:paraId="742D3891" w14:textId="77777777" w:rsidR="00424D86" w:rsidRDefault="00424D86" w:rsidP="00424D86"/>
        </w:tc>
        <w:tc>
          <w:tcPr>
            <w:tcW w:w="1587" w:type="dxa"/>
          </w:tcPr>
          <w:p w14:paraId="76798604" w14:textId="77777777" w:rsidR="00424D86" w:rsidRDefault="00424D86" w:rsidP="00424D86"/>
        </w:tc>
        <w:tc>
          <w:tcPr>
            <w:tcW w:w="2033" w:type="dxa"/>
          </w:tcPr>
          <w:p w14:paraId="05E00C97" w14:textId="0B4523C2" w:rsidR="00424D86" w:rsidRDefault="00424D86" w:rsidP="00424D86"/>
        </w:tc>
      </w:tr>
      <w:tr w:rsidR="00424D86" w14:paraId="5526464C" w14:textId="77777777" w:rsidTr="00424D86">
        <w:tc>
          <w:tcPr>
            <w:tcW w:w="1833" w:type="dxa"/>
          </w:tcPr>
          <w:p w14:paraId="2C7A9D97" w14:textId="739CEA6A" w:rsidR="00424D86" w:rsidRDefault="00424D86" w:rsidP="00424D86">
            <w:r>
              <w:lastRenderedPageBreak/>
              <w:t>Model Development</w:t>
            </w:r>
          </w:p>
        </w:tc>
        <w:tc>
          <w:tcPr>
            <w:tcW w:w="1801" w:type="dxa"/>
          </w:tcPr>
          <w:p w14:paraId="76FC7B00" w14:textId="77777777" w:rsidR="00424D86" w:rsidRDefault="00424D86" w:rsidP="00424D86"/>
        </w:tc>
        <w:tc>
          <w:tcPr>
            <w:tcW w:w="1762" w:type="dxa"/>
          </w:tcPr>
          <w:p w14:paraId="4F07A456" w14:textId="77777777" w:rsidR="00424D86" w:rsidRDefault="00424D86" w:rsidP="00424D86"/>
        </w:tc>
        <w:tc>
          <w:tcPr>
            <w:tcW w:w="1587" w:type="dxa"/>
          </w:tcPr>
          <w:p w14:paraId="4395B371" w14:textId="77777777" w:rsidR="00424D86" w:rsidRDefault="00424D86" w:rsidP="00424D86"/>
        </w:tc>
        <w:tc>
          <w:tcPr>
            <w:tcW w:w="2033" w:type="dxa"/>
          </w:tcPr>
          <w:p w14:paraId="73386276" w14:textId="0C5C14C6" w:rsidR="00424D86" w:rsidRDefault="00424D86" w:rsidP="00424D86"/>
        </w:tc>
      </w:tr>
      <w:tr w:rsidR="00424D86" w14:paraId="222CD5DF" w14:textId="77777777" w:rsidTr="00424D86">
        <w:tc>
          <w:tcPr>
            <w:tcW w:w="1833" w:type="dxa"/>
          </w:tcPr>
          <w:p w14:paraId="3863AE26" w14:textId="4DA5FE10" w:rsidR="00424D86" w:rsidRDefault="00424D86" w:rsidP="00424D86">
            <w:r>
              <w:t>Integration Safety and Deployment</w:t>
            </w:r>
          </w:p>
        </w:tc>
        <w:tc>
          <w:tcPr>
            <w:tcW w:w="1801" w:type="dxa"/>
          </w:tcPr>
          <w:p w14:paraId="631CA7CB" w14:textId="77777777" w:rsidR="00424D86" w:rsidRDefault="00424D86" w:rsidP="00424D86"/>
        </w:tc>
        <w:tc>
          <w:tcPr>
            <w:tcW w:w="1762" w:type="dxa"/>
          </w:tcPr>
          <w:p w14:paraId="5D5DF53B" w14:textId="77777777" w:rsidR="00424D86" w:rsidRDefault="00424D86" w:rsidP="00424D86"/>
        </w:tc>
        <w:tc>
          <w:tcPr>
            <w:tcW w:w="1587" w:type="dxa"/>
          </w:tcPr>
          <w:p w14:paraId="6DB19791" w14:textId="77777777" w:rsidR="00424D86" w:rsidRDefault="00424D86" w:rsidP="00424D86"/>
        </w:tc>
        <w:tc>
          <w:tcPr>
            <w:tcW w:w="2033" w:type="dxa"/>
          </w:tcPr>
          <w:p w14:paraId="7895B425" w14:textId="6045B806" w:rsidR="00424D86" w:rsidRDefault="00424D86" w:rsidP="00424D86"/>
        </w:tc>
      </w:tr>
      <w:tr w:rsidR="00424D86" w14:paraId="0C83A4BD" w14:textId="77777777" w:rsidTr="00424D86">
        <w:tc>
          <w:tcPr>
            <w:tcW w:w="1833" w:type="dxa"/>
          </w:tcPr>
          <w:p w14:paraId="598200A4" w14:textId="6DC4B210" w:rsidR="00424D86" w:rsidRDefault="00424D86" w:rsidP="00424D86">
            <w:r>
              <w:t>Operate, Monitor and Iterate</w:t>
            </w:r>
          </w:p>
        </w:tc>
        <w:tc>
          <w:tcPr>
            <w:tcW w:w="1801" w:type="dxa"/>
          </w:tcPr>
          <w:p w14:paraId="6B5F74E8" w14:textId="77777777" w:rsidR="00424D86" w:rsidRDefault="00424D86" w:rsidP="00424D86"/>
        </w:tc>
        <w:tc>
          <w:tcPr>
            <w:tcW w:w="1762" w:type="dxa"/>
          </w:tcPr>
          <w:p w14:paraId="4814E69C" w14:textId="77777777" w:rsidR="00424D86" w:rsidRDefault="00424D86" w:rsidP="00424D86"/>
        </w:tc>
        <w:tc>
          <w:tcPr>
            <w:tcW w:w="1587" w:type="dxa"/>
          </w:tcPr>
          <w:p w14:paraId="64DFD21A" w14:textId="77777777" w:rsidR="00424D86" w:rsidRDefault="00424D86" w:rsidP="00424D86"/>
        </w:tc>
        <w:tc>
          <w:tcPr>
            <w:tcW w:w="2033" w:type="dxa"/>
          </w:tcPr>
          <w:p w14:paraId="798C0AB4" w14:textId="77777777" w:rsidR="00424D86" w:rsidRDefault="00424D86" w:rsidP="00424D86"/>
        </w:tc>
      </w:tr>
      <w:tr w:rsidR="00424D86" w14:paraId="6D72A3AF" w14:textId="77777777" w:rsidTr="00424D86">
        <w:tc>
          <w:tcPr>
            <w:tcW w:w="1833" w:type="dxa"/>
          </w:tcPr>
          <w:p w14:paraId="0664CCF0" w14:textId="745D6913" w:rsidR="00424D86" w:rsidRDefault="00424D86" w:rsidP="00424D86">
            <w:r>
              <w:t xml:space="preserve">Retire and </w:t>
            </w:r>
            <w:proofErr w:type="gramStart"/>
            <w:r>
              <w:t>Decommission</w:t>
            </w:r>
            <w:proofErr w:type="gramEnd"/>
          </w:p>
        </w:tc>
        <w:tc>
          <w:tcPr>
            <w:tcW w:w="1801" w:type="dxa"/>
          </w:tcPr>
          <w:p w14:paraId="6416B7AD" w14:textId="77777777" w:rsidR="00424D86" w:rsidRDefault="00424D86" w:rsidP="00424D86"/>
        </w:tc>
        <w:tc>
          <w:tcPr>
            <w:tcW w:w="1762" w:type="dxa"/>
          </w:tcPr>
          <w:p w14:paraId="5691534B" w14:textId="77777777" w:rsidR="00424D86" w:rsidRDefault="00424D86" w:rsidP="00424D86"/>
        </w:tc>
        <w:tc>
          <w:tcPr>
            <w:tcW w:w="1587" w:type="dxa"/>
          </w:tcPr>
          <w:p w14:paraId="20355038" w14:textId="77777777" w:rsidR="00424D86" w:rsidRDefault="00424D86" w:rsidP="00424D86"/>
        </w:tc>
        <w:tc>
          <w:tcPr>
            <w:tcW w:w="2033" w:type="dxa"/>
          </w:tcPr>
          <w:p w14:paraId="3853445E" w14:textId="77777777" w:rsidR="00424D86" w:rsidRDefault="00424D86" w:rsidP="00424D86"/>
        </w:tc>
      </w:tr>
    </w:tbl>
    <w:p w14:paraId="12AC3057" w14:textId="77777777" w:rsidR="00424D86" w:rsidRPr="002A4C15" w:rsidRDefault="00424D86" w:rsidP="002A4C15"/>
    <w:sectPr w:rsidR="00424D86" w:rsidRPr="002A4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4949"/>
    <w:multiLevelType w:val="multilevel"/>
    <w:tmpl w:val="8664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A1590"/>
    <w:multiLevelType w:val="hybridMultilevel"/>
    <w:tmpl w:val="EDFA0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580C9B"/>
    <w:multiLevelType w:val="hybridMultilevel"/>
    <w:tmpl w:val="38E2B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977AFC"/>
    <w:multiLevelType w:val="hybridMultilevel"/>
    <w:tmpl w:val="D2A80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532629">
    <w:abstractNumId w:val="1"/>
  </w:num>
  <w:num w:numId="2" w16cid:durableId="799613732">
    <w:abstractNumId w:val="2"/>
  </w:num>
  <w:num w:numId="3" w16cid:durableId="22024588">
    <w:abstractNumId w:val="3"/>
  </w:num>
  <w:num w:numId="4" w16cid:durableId="202277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C15"/>
    <w:rsid w:val="00092AF9"/>
    <w:rsid w:val="00180D7B"/>
    <w:rsid w:val="002775E3"/>
    <w:rsid w:val="002A4C15"/>
    <w:rsid w:val="002D3762"/>
    <w:rsid w:val="002E5904"/>
    <w:rsid w:val="00370696"/>
    <w:rsid w:val="003A7A4E"/>
    <w:rsid w:val="003B71E3"/>
    <w:rsid w:val="003E4DA0"/>
    <w:rsid w:val="003F576D"/>
    <w:rsid w:val="00424D86"/>
    <w:rsid w:val="004937C5"/>
    <w:rsid w:val="004B2307"/>
    <w:rsid w:val="004E3396"/>
    <w:rsid w:val="00551854"/>
    <w:rsid w:val="00600767"/>
    <w:rsid w:val="0072026E"/>
    <w:rsid w:val="00721C3A"/>
    <w:rsid w:val="007A51F1"/>
    <w:rsid w:val="008B433C"/>
    <w:rsid w:val="008F32F4"/>
    <w:rsid w:val="00904E4B"/>
    <w:rsid w:val="009868BC"/>
    <w:rsid w:val="009A3B69"/>
    <w:rsid w:val="009E3452"/>
    <w:rsid w:val="00AB418B"/>
    <w:rsid w:val="00AB7C38"/>
    <w:rsid w:val="00B12792"/>
    <w:rsid w:val="00BB6426"/>
    <w:rsid w:val="00D0696F"/>
    <w:rsid w:val="00DD42EC"/>
    <w:rsid w:val="00EF7E8D"/>
    <w:rsid w:val="00F046FF"/>
    <w:rsid w:val="00F73A5F"/>
    <w:rsid w:val="00FD2B7A"/>
    <w:rsid w:val="00FE54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77981"/>
  <w15:chartTrackingRefBased/>
  <w15:docId w15:val="{149E7A80-DFFB-4B31-8290-B728A90DA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C15"/>
    <w:rPr>
      <w:rFonts w:eastAsiaTheme="majorEastAsia" w:cstheme="majorBidi"/>
      <w:color w:val="272727" w:themeColor="text1" w:themeTint="D8"/>
    </w:rPr>
  </w:style>
  <w:style w:type="paragraph" w:styleId="Title">
    <w:name w:val="Title"/>
    <w:basedOn w:val="Normal"/>
    <w:next w:val="Normal"/>
    <w:link w:val="TitleChar"/>
    <w:uiPriority w:val="10"/>
    <w:qFormat/>
    <w:rsid w:val="002A4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C15"/>
    <w:pPr>
      <w:spacing w:before="160"/>
      <w:jc w:val="center"/>
    </w:pPr>
    <w:rPr>
      <w:i/>
      <w:iCs/>
      <w:color w:val="404040" w:themeColor="text1" w:themeTint="BF"/>
    </w:rPr>
  </w:style>
  <w:style w:type="character" w:customStyle="1" w:styleId="QuoteChar">
    <w:name w:val="Quote Char"/>
    <w:basedOn w:val="DefaultParagraphFont"/>
    <w:link w:val="Quote"/>
    <w:uiPriority w:val="29"/>
    <w:rsid w:val="002A4C15"/>
    <w:rPr>
      <w:i/>
      <w:iCs/>
      <w:color w:val="404040" w:themeColor="text1" w:themeTint="BF"/>
    </w:rPr>
  </w:style>
  <w:style w:type="paragraph" w:styleId="ListParagraph">
    <w:name w:val="List Paragraph"/>
    <w:basedOn w:val="Normal"/>
    <w:uiPriority w:val="34"/>
    <w:qFormat/>
    <w:rsid w:val="002A4C15"/>
    <w:pPr>
      <w:ind w:left="720"/>
      <w:contextualSpacing/>
    </w:pPr>
  </w:style>
  <w:style w:type="character" w:styleId="IntenseEmphasis">
    <w:name w:val="Intense Emphasis"/>
    <w:basedOn w:val="DefaultParagraphFont"/>
    <w:uiPriority w:val="21"/>
    <w:qFormat/>
    <w:rsid w:val="002A4C15"/>
    <w:rPr>
      <w:i/>
      <w:iCs/>
      <w:color w:val="0F4761" w:themeColor="accent1" w:themeShade="BF"/>
    </w:rPr>
  </w:style>
  <w:style w:type="paragraph" w:styleId="IntenseQuote">
    <w:name w:val="Intense Quote"/>
    <w:basedOn w:val="Normal"/>
    <w:next w:val="Normal"/>
    <w:link w:val="IntenseQuoteChar"/>
    <w:uiPriority w:val="30"/>
    <w:qFormat/>
    <w:rsid w:val="002A4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C15"/>
    <w:rPr>
      <w:i/>
      <w:iCs/>
      <w:color w:val="0F4761" w:themeColor="accent1" w:themeShade="BF"/>
    </w:rPr>
  </w:style>
  <w:style w:type="character" w:styleId="IntenseReference">
    <w:name w:val="Intense Reference"/>
    <w:basedOn w:val="DefaultParagraphFont"/>
    <w:uiPriority w:val="32"/>
    <w:qFormat/>
    <w:rsid w:val="002A4C15"/>
    <w:rPr>
      <w:b/>
      <w:bCs/>
      <w:smallCaps/>
      <w:color w:val="0F4761" w:themeColor="accent1" w:themeShade="BF"/>
      <w:spacing w:val="5"/>
    </w:rPr>
  </w:style>
  <w:style w:type="table" w:styleId="TableGrid">
    <w:name w:val="Table Grid"/>
    <w:basedOn w:val="TableNormal"/>
    <w:uiPriority w:val="39"/>
    <w:rsid w:val="00FE5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576D"/>
    <w:rPr>
      <w:color w:val="467886" w:themeColor="hyperlink"/>
      <w:u w:val="single"/>
    </w:rPr>
  </w:style>
  <w:style w:type="character" w:styleId="UnresolvedMention">
    <w:name w:val="Unresolved Mention"/>
    <w:basedOn w:val="DefaultParagraphFont"/>
    <w:uiPriority w:val="99"/>
    <w:semiHidden/>
    <w:unhideWhenUsed/>
    <w:rsid w:val="003F57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featured-insights/themes/the-takers-shapers-and-makers-of-gen-a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xenoss.io/blog/total-cost-of-ownership-for-enterprise-a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etdx.com/blog/ai-roi-enterprise/" TargetMode="External"/><Relationship Id="rId5" Type="http://schemas.openxmlformats.org/officeDocument/2006/relationships/image" Target="media/image1.png"/><Relationship Id="rId10" Type="http://schemas.openxmlformats.org/officeDocument/2006/relationships/hyperlink" Target="https://www.mckinsey.com/~/media/mckinsey/industries/financial%20services/our%20insights/scaling%20gen%20ai%20in%20banking%20choosing%20the%20best%20operating%20model/scaling-gen-ai-in-banking-choosing-the-best-operating-model.pdf?shouldIndex=false" TargetMode="External"/><Relationship Id="rId4" Type="http://schemas.openxmlformats.org/officeDocument/2006/relationships/webSettings" Target="webSettings.xml"/><Relationship Id="rId9" Type="http://schemas.openxmlformats.org/officeDocument/2006/relationships/hyperlink" Target="https://smartdev.com/how-much-does-it-cost-to-develop-generative-ai-chatbots-for-customer-service-in-ban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3903</TotalTime>
  <Pages>6</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Rahul</dc:creator>
  <cp:keywords/>
  <dc:description/>
  <cp:lastModifiedBy>Rahul Rahul</cp:lastModifiedBy>
  <cp:revision>14</cp:revision>
  <dcterms:created xsi:type="dcterms:W3CDTF">2026-03-20T22:05:00Z</dcterms:created>
  <dcterms:modified xsi:type="dcterms:W3CDTF">2026-04-30T01:01:00Z</dcterms:modified>
</cp:coreProperties>
</file>