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Masterstudent Data Science and Analytics | Machine Learning Engineering fuer multimodale LLMs | Python + RAG + Evaluationspipelines</w:t>
      </w:r>
    </w:p>
    <w:p>
      <w:pPr>
        <w:spacing w:before="0" w:after="0" w:line="264" w:lineRule="auto"/>
      </w:pPr>
      <w:r>
        <w:rPr>
          <w:color w:val="1F2937"/>
          <w:sz w:val="19"/>
        </w:rPr>
        <w:t>Mannheim, Deutschland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Immatrikuliert bis April 2027 · Sofort verfügbar · Studentenvisum mit Arbeitserlaubnis</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 xml:space="preserve">Masterstudent der Data Science and Analytics an der SRH Heidelberg mit Sitz in Mannheim und praktischer Erfahrung im Training, Fine Tuning und der systematischen Evaluation von Large Language Models. Ich habe ein Multi Agent RAG System vollstaendig lokal ueber Ollama betrieben, mit Mistral </w:t>
      </w:r>
      <w:r>
        <w:rPr>
          <w:b/>
          <w:color w:val="1F3A5F"/>
          <w:sz w:val="21"/>
        </w:rPr>
        <w:t>7B</w:t>
      </w:r>
      <w:r>
        <w:rPr>
          <w:b w:val="0"/>
          <w:color w:val="1F2937"/>
          <w:sz w:val="21"/>
        </w:rPr>
        <w:t xml:space="preserve"> als Generator und Qwen</w:t>
      </w:r>
      <w:r>
        <w:rPr>
          <w:b/>
          <w:color w:val="1F3A5F"/>
          <w:sz w:val="21"/>
        </w:rPr>
        <w:t>2.5</w:t>
      </w:r>
      <w:r>
        <w:rPr>
          <w:b w:val="0"/>
          <w:color w:val="1F2937"/>
          <w:sz w:val="21"/>
        </w:rPr>
        <w:t xml:space="preserve"> </w:t>
      </w:r>
      <w:r>
        <w:rPr>
          <w:b/>
          <w:color w:val="1F3A5F"/>
          <w:sz w:val="21"/>
        </w:rPr>
        <w:t>14B</w:t>
      </w:r>
      <w:r>
        <w:rPr>
          <w:b w:val="0"/>
          <w:color w:val="1F2937"/>
          <w:sz w:val="21"/>
        </w:rPr>
        <w:t xml:space="preserve"> als unabhaengigem LLM as Judge, und dabei eigene Trainings und Evaluationspipelines fuer ein gepaartes mehrsprachiges Datenset aufgebaut. Sicher in Python, Deep Learning Frameworks, Cloud Pipelines und der praktischen Arbeit mit RAG, Tool Calling und agentischem Verhalten.</w:t>
      </w:r>
    </w:p>
    <w:p>
      <w:pPr>
        <w:keepNext/>
        <w:spacing w:before="20" w:after="0"/>
        <w:pBdr>
          <w:bottom w:val="single" w:sz="6" w:space="1" w:color="B7C0CE"/>
        </w:pBdr>
      </w:pPr>
      <w:r>
        <w:rPr>
          <w:b/>
          <w:color w:val="1F3A5F"/>
          <w:sz w:val="21"/>
        </w:rPr>
        <w:t>F Ä H I G K E I T E N</w:t>
      </w:r>
    </w:p>
    <w:p>
      <w:pPr>
        <w:spacing w:before="0" w:after="0" w:line="288" w:lineRule="auto"/>
        <w:ind w:left="0"/>
      </w:pPr>
      <w:r>
        <w:rPr>
          <w:b/>
          <w:color w:val="1F3A5F"/>
          <w:sz w:val="21"/>
        </w:rPr>
        <w:t xml:space="preserve">KI und Agenten: </w:t>
      </w:r>
      <w:r>
        <w:rPr>
          <w:color w:val="1F2937"/>
          <w:sz w:val="21"/>
        </w:rPr>
        <w:t>LangGraph, RAG, LLM as Judge, Prompt Engineering, Ollama, spaCy, BM25</w:t>
      </w:r>
    </w:p>
    <w:p>
      <w:pPr>
        <w:spacing w:before="0" w:after="0" w:line="288" w:lineRule="auto"/>
        <w:ind w:left="0"/>
      </w:pPr>
      <w:r>
        <w:rPr>
          <w:b/>
          <w:color w:val="1F3A5F"/>
          <w:sz w:val="21"/>
        </w:rPr>
        <w:t xml:space="preserve">Daten und ML: </w:t>
      </w:r>
      <w:r>
        <w:rPr>
          <w:color w:val="1F2937"/>
          <w:sz w:val="21"/>
        </w:rPr>
        <w:t>Python, SQL, PySpark, scikit learn, CatBoost, XGBoost, LightGBM, Prophet, MICE</w:t>
      </w:r>
    </w:p>
    <w:p>
      <w:pPr>
        <w:spacing w:before="0" w:after="0" w:line="288" w:lineRule="auto"/>
        <w:ind w:left="0"/>
      </w:pPr>
      <w:r>
        <w:rPr>
          <w:b/>
          <w:color w:val="1F3A5F"/>
          <w:sz w:val="21"/>
        </w:rPr>
        <w:t xml:space="preserve">Cloud und Orchestrierung: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0" w:after="0" w:line="276" w:lineRule="auto"/>
        <w:ind w:left="283" w:hanging="170"/>
        <w:jc w:val="both"/>
      </w:pPr>
      <w:r>
        <w:rPr>
          <w:b/>
          <w:color w:val="B8663F"/>
          <w:sz w:val="21"/>
        </w:rPr>
        <w:t xml:space="preserve">• </w:t>
      </w:r>
      <w:r>
        <w:rPr>
          <w:b w:val="0"/>
          <w:color w:val="1F2937"/>
          <w:sz w:val="21"/>
        </w:rPr>
        <w:t xml:space="preserve">Die September Evaluation wurde belastbar gemacht mit einem </w:t>
      </w:r>
      <w:r>
        <w:rPr>
          <w:b/>
          <w:color w:val="1F3A5F"/>
          <w:sz w:val="21"/>
        </w:rPr>
        <w:t>3 Pass</w:t>
      </w:r>
      <w:r>
        <w:rPr>
          <w:b w:val="0"/>
          <w:color w:val="1F2937"/>
          <w:sz w:val="21"/>
        </w:rPr>
        <w:t xml:space="preserve"> Outlier System pH verengt von </w:t>
      </w:r>
      <w:r>
        <w:rPr>
          <w:b/>
          <w:color w:val="1F3A5F"/>
          <w:sz w:val="21"/>
        </w:rPr>
        <w:t>0 bis 14</w:t>
      </w:r>
      <w:r>
        <w:rPr>
          <w:b w:val="0"/>
          <w:color w:val="1F2937"/>
          <w:sz w:val="21"/>
        </w:rPr>
        <w:t xml:space="preserve"> auf </w:t>
      </w:r>
      <w:r>
        <w:rPr>
          <w:b/>
          <w:color w:val="1F3A5F"/>
          <w:sz w:val="21"/>
        </w:rPr>
        <w:t>7.0 bis 9.0</w:t>
      </w:r>
      <w:r>
        <w:rPr>
          <w:b w:val="0"/>
          <w:color w:val="1F2937"/>
          <w:sz w:val="21"/>
        </w:rPr>
        <w:t xml:space="preserve">, Oct und Nov Caps von </w:t>
      </w:r>
      <w:r>
        <w:rPr>
          <w:b/>
          <w:color w:val="1F3A5F"/>
          <w:sz w:val="21"/>
        </w:rPr>
        <w:t>15.0</w:t>
      </w:r>
      <w:r>
        <w:rPr>
          <w:b w:val="0"/>
          <w:color w:val="1F2937"/>
          <w:sz w:val="21"/>
        </w:rPr>
        <w:t xml:space="preserve"> bei Chlorophyll a und </w:t>
      </w:r>
      <w:r>
        <w:rPr>
          <w:b/>
          <w:color w:val="1F3A5F"/>
          <w:sz w:val="21"/>
        </w:rPr>
        <w:t>50.0</w:t>
      </w:r>
      <w:r>
        <w:rPr>
          <w:b w:val="0"/>
          <w:color w:val="1F2937"/>
          <w:sz w:val="21"/>
        </w:rPr>
        <w:t xml:space="preserve"> bei Trübung, ein rollender z-score bei z&gt;</w:t>
      </w:r>
      <w:r>
        <w:rPr>
          <w:b/>
          <w:color w:val="1F3A5F"/>
          <w:sz w:val="21"/>
        </w:rPr>
        <w:t>2.5</w:t>
      </w:r>
      <w:r>
        <w:rPr>
          <w:b w:val="0"/>
          <w:color w:val="1F2937"/>
          <w:sz w:val="21"/>
        </w:rPr>
        <w:t xml:space="preserve"> über </w:t>
      </w:r>
      <w:r>
        <w:rPr>
          <w:b/>
          <w:color w:val="1F3A5F"/>
          <w:sz w:val="21"/>
        </w:rPr>
        <w:t>48 Stunden</w:t>
      </w:r>
      <w:r>
        <w:rPr>
          <w:b w:val="0"/>
          <w:color w:val="1F2937"/>
          <w:sz w:val="21"/>
        </w:rPr>
        <w:t xml:space="preserve">, und 5 spärliche Sensoren plus 3 zeitgleiche Proxies phycocyanin_abs, phycocyanin_abs_comp und toc wurden ausgeschlossen, was die ehrliche R quadrat Aufteilung von </w:t>
      </w:r>
      <w:r>
        <w:rPr>
          <w:b/>
          <w:color w:val="1F3A5F"/>
          <w:sz w:val="21"/>
        </w:rPr>
        <w:t>0.86</w:t>
      </w:r>
      <w:r>
        <w:rPr>
          <w:b w:val="0"/>
          <w:color w:val="1F2937"/>
          <w:sz w:val="21"/>
        </w:rPr>
        <w:t xml:space="preserve"> bei gelöstem Sauerstoff und </w:t>
      </w:r>
      <w:r>
        <w:rPr>
          <w:b/>
          <w:color w:val="1F3A5F"/>
          <w:sz w:val="21"/>
        </w:rPr>
        <w:t>0.81</w:t>
      </w:r>
      <w:r>
        <w:rPr>
          <w:b w:val="0"/>
          <w:color w:val="1F2937"/>
          <w:sz w:val="21"/>
        </w:rPr>
        <w:t xml:space="preserve"> bei pH offenlegte.</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Multi Agent RAG mit LLM as Judge und mehrsprachiger EN und DE Unterstützung</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rein englisches Hybrid RAG Policy Analysesystem mit BM25 und dichter Vektorsuche über einen </w:t>
      </w:r>
      <w:r>
        <w:rPr>
          <w:b/>
          <w:color w:val="1F3A5F"/>
          <w:sz w:val="21"/>
        </w:rPr>
        <w:t>14 Dokumente</w:t>
      </w:r>
      <w:r>
        <w:rPr>
          <w:b w:val="0"/>
          <w:color w:val="1F2937"/>
          <w:sz w:val="21"/>
        </w:rPr>
        <w:t xml:space="preserve"> Policy Korpus, das deutschsprachige Nutzer nicht bedienen konnte, mit dem Auftrag mehrsprachige Unterstützung ohne Korpus Duplizierung hinzuzufügen, wurden Embeddings und Retrieval auf einen paraphrase multilingual MiniLM L12 v2 gemeinsamen Vektorraum migriert, sodass eine deutsche Anfrage englische Quellen abruft und end to end auf Deutsch beantwortet wird.</w:t>
      </w:r>
    </w:p>
    <w:p>
      <w:pPr>
        <w:spacing w:before="0" w:after="0" w:line="276" w:lineRule="auto"/>
        <w:ind w:left="283" w:hanging="170"/>
        <w:jc w:val="both"/>
      </w:pPr>
      <w:r>
        <w:rPr>
          <w:b/>
          <w:color w:val="B8663F"/>
          <w:sz w:val="21"/>
        </w:rPr>
        <w:t xml:space="preserve">• </w:t>
      </w:r>
      <w:r>
        <w:rPr>
          <w:b w:val="0"/>
          <w:color w:val="1F2937"/>
          <w:sz w:val="21"/>
        </w:rPr>
        <w:t>Da jeder Agent im Graph erneut Spracherkennung ausführte und inkonsistente Ausgabesprachen produzierte, mit dem Auftrag eine zentrale Wahrheitsquelle zu schaffen, wurde ein LanguageAgent gebaut, der geseedete Spracherkennung mit einem Confidence Floor zentralisiert, die Ausgabesprache Direktive an jeden nachgelagerten Agent weiterreicht und Preprocessing an sprachpassende spaCy Pipelines mit einem leeren Multilingual Fallback routet und die Sprache pro Chunk protokolliert, sodass Retrieval und Evaluation nach Sprache geschnitten werden können.</w:t>
      </w:r>
    </w:p>
    <w:p>
      <w:pPr>
        <w:spacing w:before="20" w:after="0"/>
      </w:pPr>
      <w:r>
        <w:rPr>
          <w:b/>
          <w:color w:val="B8663F"/>
          <w:sz w:val="19"/>
        </w:rPr>
        <w:t xml:space="preserve">Technologies: </w:t>
      </w:r>
      <w:r>
        <w:rPr>
          <w:i/>
          <w:color w:val="6C7A93"/>
          <w:sz w:val="19"/>
        </w:rPr>
        <w:t>Python, LangGraph Multi Agent, Ollama mit Mistral 7B und Qwen2.5 14B, Pinecone, paraphrase multilingual MiniLM L12 v2, spaCy, BM25</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