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Data Science Master's Student | Agentic AI Engineering and Evaluation | Python + LangGraph + Healthcare Compliance</w:t>
      </w:r>
    </w:p>
    <w:p>
      <w:pPr>
        <w:spacing w:before="0" w:after="0" w:line="264" w:lineRule="auto"/>
      </w:pPr>
      <w:r>
        <w:rPr>
          <w:color w:val="1F2937"/>
          <w:sz w:val="19"/>
        </w:rPr>
        <w:t>Mannheim, Germany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Enrolled through April 2027 · Available immediately · Student visa with work permit</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Master's student in Data Science and Analytics at SRH Heidelberg, based in Mannheim, with hands on experience designing, prototyping and evaluating LLM based agents in regulated, safety critical settings. I built a multi agent RAG system with an LLM as Judge evaluation that scores output quality and reliability on </w:t>
      </w:r>
      <w:r>
        <w:rPr>
          <w:b/>
          <w:color w:val="1F3A5F"/>
          <w:sz w:val="21"/>
        </w:rPr>
        <w:t>5 dimensions</w:t>
      </w:r>
      <w:r>
        <w:rPr>
          <w:b w:val="0"/>
          <w:color w:val="1F2937"/>
          <w:sz w:val="21"/>
        </w:rPr>
        <w:t>, and a fairness by design credit scoring system that cleared GDPR Article 22 and EU AI Act Article 14 human in the loop requirements. Comfortable balancing AI powered product development with output quality, reliability and safety in a regulated environment, in Python.</w:t>
      </w:r>
    </w:p>
    <w:p>
      <w:pPr>
        <w:keepNext/>
        <w:spacing w:before="20" w:after="0"/>
        <w:pBdr>
          <w:bottom w:val="single" w:sz="6" w:space="1" w:color="B7C0CE"/>
        </w:pBdr>
      </w:pPr>
      <w:r>
        <w:rPr>
          <w:b/>
          <w:color w:val="1F3A5F"/>
          <w:sz w:val="21"/>
        </w:rPr>
        <w:t>S K I L L S</w:t>
      </w:r>
    </w:p>
    <w:p>
      <w:pPr>
        <w:spacing w:before="0" w:after="0" w:line="288" w:lineRule="auto"/>
        <w:ind w:left="0"/>
      </w:pPr>
      <w:r>
        <w:rPr>
          <w:b/>
          <w:color w:val="1F3A5F"/>
          <w:sz w:val="21"/>
        </w:rPr>
        <w:t xml:space="preserve">AI and Agents: </w:t>
      </w:r>
      <w:r>
        <w:rPr>
          <w:color w:val="1F2937"/>
          <w:sz w:val="21"/>
        </w:rPr>
        <w:t>LangGraph, RAG, LLM as Judge, Prompt Engineering, Ollama, spaCy, BM25</w:t>
      </w:r>
    </w:p>
    <w:p>
      <w:pPr>
        <w:spacing w:before="0" w:after="0" w:line="288" w:lineRule="auto"/>
        <w:ind w:left="0"/>
      </w:pPr>
      <w:r>
        <w:rPr>
          <w:b/>
          <w:color w:val="1F3A5F"/>
          <w:sz w:val="21"/>
        </w:rPr>
        <w:t xml:space="preserve">Data and ML: </w:t>
      </w:r>
      <w:r>
        <w:rPr>
          <w:color w:val="1F2937"/>
          <w:sz w:val="21"/>
        </w:rPr>
        <w:t>Python, SQL, PySpark, scikit learn, CatBoost, XGBoost, LightGBM, Prophet, MICE</w:t>
      </w:r>
    </w:p>
    <w:p>
      <w:pPr>
        <w:spacing w:before="0" w:after="0" w:line="288" w:lineRule="auto"/>
        <w:ind w:left="0"/>
      </w:pPr>
      <w:r>
        <w:rPr>
          <w:b/>
          <w:color w:val="1F3A5F"/>
          <w:sz w:val="21"/>
        </w:rPr>
        <w:t xml:space="preserve">Cloud and Orchestration: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 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Multi Agent RAG with LLM as Judge and Multilingual EN and DE Support</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76" w:lineRule="auto"/>
        <w:ind w:left="283" w:hanging="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20" w:after="0"/>
      </w:pPr>
      <w:r>
        <w:rPr>
          <w:b/>
          <w:color w:val="B8663F"/>
          <w:sz w:val="19"/>
        </w:rPr>
        <w:t xml:space="preserve">Technologies: </w:t>
      </w:r>
      <w:r>
        <w:rPr>
          <w:i/>
          <w:color w:val="6C7A93"/>
          <w:sz w:val="19"/>
        </w:rPr>
        <w:t>Python, LangGraph multi agent, Ollama with Mistral 7B and Qwen2.5 14B, Pinecone, paraphrase multilingual MiniLM L12 v2, spaCy, BM25</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