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16 September 2026</w:t>
      </w:r>
    </w:p>
    <w:p>
      <w:r>
        <w:rPr>
          <w:b/>
          <w:color w:val="1F3A5F"/>
          <w:sz w:val="23"/>
        </w:rPr>
        <w:t>Temedica GmbH</w:t>
      </w:r>
    </w:p>
    <w:p>
      <w:r>
        <w:rPr>
          <w:color w:val="1F2937"/>
          <w:sz w:val="21"/>
        </w:rPr>
        <w:t>Hiring Team</w:t>
      </w:r>
    </w:p>
    <w:p>
      <w:r>
        <w:rPr>
          <w:b/>
          <w:color w:val="1F3A5F"/>
          <w:sz w:val="22"/>
        </w:rPr>
        <w:t>Application: Working Student, AI and Agentic Engineering in Munich</w:t>
      </w:r>
    </w:p>
    <w:p>
      <w:r>
        <w:rPr>
          <w:color w:val="1F2937"/>
          <w:sz w:val="21"/>
        </w:rPr>
        <w:t>Dear Hiring Team,</w:t>
      </w:r>
    </w:p>
    <w:p>
      <w:pPr>
        <w:spacing w:line="324" w:lineRule="auto"/>
        <w:jc w:val="both"/>
      </w:pPr>
      <w:r>
        <w:rPr>
          <w:color w:val="1F2937"/>
          <w:sz w:val="21"/>
        </w:rPr>
        <w:t>I am writing to apply for the Working Student AI and Agentic Engineering position at Temedica in Munich. As a Master's student in Data Science and Analytics at SRH Heidelberg based in Mannheim, the task of designing, prototyping and developing LLM based applications and AI agents while evaluating and improving them for output quality, reliability, usability and safety in a regulated healthcare environment maps closely to the projects I have shipped in the last several months.</w:t>
      </w:r>
    </w:p>
    <w:p>
      <w:pPr>
        <w:spacing w:line="324" w:lineRule="auto"/>
        <w:jc w:val="both"/>
      </w:pPr>
      <w:r>
        <w:rPr>
          <w:color w:val="1F2937"/>
          <w:sz w:val="21"/>
        </w:rPr>
        <w:t>In my Multi Agent RAG project I built a JudgeAgent that scores answers on 5 dimensions, groundedness, relevance, completeness, citation quality and language quality, in JSON mode at temperature 0, with a self_judged flag propagated into every report and a hard failure on a missing judge model so a silent fallback cannot regress unnoticed. This discipline, treating output quality and reliability as something to measure and enforce rather than assume, is exactly what evaluating AI agents for real world use in a healthcare context needs.</w:t>
      </w:r>
    </w:p>
    <w:p>
      <w:pPr>
        <w:spacing w:line="324" w:lineRule="auto"/>
        <w:jc w:val="both"/>
      </w:pPr>
      <w:r>
        <w:rPr>
          <w:color w:val="1F2937"/>
          <w:sz w:val="21"/>
        </w:rPr>
        <w:t>In my CreditIQ project I applied AIF360 mitigation and threshold calibration to bring a regulated credit scoring model back into compliance, used SHAP driven subgroup analysis to find and correct a hidden intersectional bias, and shipped a Streamlit decision support tool backed by a full regulatory write up spanning the EU AI Act, GDPR, a model card and attack vectors, clearing GDPR Article 22 and EU AI Act Article 14 human in the loop requirements. This experience, designing AI powered decision support for a regulated, safety critical domain rather than a low stakes demo, transfers directly to building intelligent automation solutions that create real value for patients and clinicians in digital health.</w:t>
      </w:r>
    </w:p>
    <w:p>
      <w:pPr>
        <w:spacing w:line="324" w:lineRule="auto"/>
        <w:jc w:val="both"/>
      </w:pPr>
      <w:r>
        <w:rPr>
          <w:color w:val="1F2937"/>
          <w:sz w:val="21"/>
        </w:rPr>
        <w:t>I work comfortably in Python and have hands on experience developing AI agentic applications using LangGraph and similar frameworks.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Munich as a working student immediately and would welcome the chance to discuss how I could contribute to your AI powered health insights work.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