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 Student Data Science and Analytics | LLM Evaluation and RAG Pipelines | Python + LangGraph + AIF360</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building and systematically evaluating LLM based applications, embeddings, and RAG pipelines for a regulated, compliance sensitive domain. I built a Multi Agent RAG system with an independent LLM as Judge model scoring answers across </w:t>
      </w:r>
      <w:r>
        <w:rPr>
          <w:b/>
          <w:color w:val="1F3A5F"/>
          <w:sz w:val="21"/>
        </w:rPr>
        <w:t>5 dimensions</w:t>
      </w:r>
      <w:r>
        <w:rPr>
          <w:b w:val="0"/>
          <w:color w:val="1F2937"/>
          <w:sz w:val="21"/>
        </w:rPr>
        <w:t>, and a fairness by design credit scoring system that cleared EU AI Act and GDPR Article 22 human in the loop requirements. Comfortable in Python, prompt engineering, and moving AI features from prototype to production with defensible evaluation.</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