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23 September 2026</w:t>
      </w:r>
    </w:p>
    <w:p>
      <w:r>
        <w:rPr>
          <w:b/>
          <w:color w:val="1F3A5F"/>
          <w:sz w:val="23"/>
        </w:rPr>
        <w:t>COBACK</w:t>
      </w:r>
    </w:p>
    <w:p>
      <w:r>
        <w:rPr>
          <w:color w:val="1F2937"/>
          <w:sz w:val="21"/>
        </w:rPr>
        <w:t>Hiring Team</w:t>
      </w:r>
    </w:p>
    <w:p>
      <w:r>
        <w:rPr>
          <w:b/>
          <w:color w:val="1F3A5F"/>
          <w:sz w:val="22"/>
        </w:rPr>
        <w:t>Application: Working Student AI Engineer in Dresden</w:t>
      </w:r>
    </w:p>
    <w:p>
      <w:r>
        <w:rPr>
          <w:color w:val="1F2937"/>
          <w:sz w:val="21"/>
        </w:rPr>
        <w:t>Dear Hiring Team,</w:t>
      </w:r>
    </w:p>
    <w:p>
      <w:pPr>
        <w:spacing w:line="324" w:lineRule="auto"/>
        <w:jc w:val="both"/>
      </w:pPr>
      <w:r>
        <w:rPr>
          <w:color w:val="1F2937"/>
          <w:sz w:val="21"/>
        </w:rPr>
        <w:t>I am writing to apply for the Working Student AI Engineer position at COBACK in Dresden. As a Master's student in Data Science and Analytics at SRH Heidelberg based in Mannheim, the mix of building LLM based applications, working with embeddings and vector databases, and supporting evaluation of AI features for a compliance and ESG reporting platform maps closely to the work I have shipped over the last several months.</w:t>
      </w:r>
    </w:p>
    <w:p>
      <w:pPr>
        <w:spacing w:line="324" w:lineRule="auto"/>
        <w:jc w:val="both"/>
      </w:pPr>
      <w:r>
        <w:rPr>
          <w:color w:val="1F2937"/>
          <w:sz w:val="21"/>
        </w:rPr>
        <w:t>In my Multi Agent RAG project I implemented a JudgeAgent that scores answers on 5 dimensions, groundedness, relevance, completeness, citation quality and language quality, in JSON mode at temperature 0, and eliminated self preference bias by running the judge on a different local model from the generator, with a hard failure on a missing judge model so a silent fallback to self judging cannot regress unnoticed. That experience evaluating LLM outputs systematically rather than subjectively is exactly the kind of rigor a compliance platform's AI features need.</w:t>
      </w:r>
    </w:p>
    <w:p>
      <w:pPr>
        <w:spacing w:line="324" w:lineRule="auto"/>
        <w:jc w:val="both"/>
      </w:pPr>
      <w:r>
        <w:rPr>
          <w:color w:val="1F2937"/>
          <w:sz w:val="21"/>
        </w:rPr>
        <w:t>In my CreditIQ project on regulated credit scoring, I applied AIF360 mitigation and threshold calibration to bring a model back into EU AI Act and AGG fairness compliance, then shipped a Streamlit decision support tool with a plain language LLM generated explanation and a full regulatory write up covering GDPR Article 22 and EU AI Act Article 14 human in the loop requirements. That experience building AI features for a regulated, audit sensitive domain transfers directly to evaluating AI features for sustainability and ESG reporting.</w:t>
      </w:r>
    </w:p>
    <w:p>
      <w:pPr>
        <w:spacing w:line="324" w:lineRule="auto"/>
        <w:jc w:val="both"/>
      </w:pPr>
      <w:r>
        <w:rPr>
          <w:color w:val="1F2937"/>
          <w:sz w:val="21"/>
        </w:rPr>
        <w:t>I work comfortably in Python and have hands on experience with prompt engineering, LLMs, and RAG pipelines. I hold the NVIDIA Building LLM Applications With Prompt Engineering, AWS Academy Cloud Foundations, and Google Data Analytics certificates, and was recognised as a Finalist of the USAII Global AI Hackathon 2026 at Graduate Level. I am fluent in English and B1 in progress in German. I can join as a working student in Dresden and would welcome the chance to discuss how I could contribute to your AI engineering work.</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