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18 October 2026</w:t>
      </w:r>
    </w:p>
    <w:p>
      <w:r>
        <w:rPr>
          <w:b/>
          <w:color w:val="1F3A5F"/>
          <w:sz w:val="23"/>
        </w:rPr>
        <w:t>Infineon Technologies</w:t>
      </w:r>
    </w:p>
    <w:p>
      <w:r>
        <w:rPr>
          <w:color w:val="1F2937"/>
          <w:sz w:val="21"/>
        </w:rPr>
        <w:t>Hiring Team</w:t>
      </w:r>
    </w:p>
    <w:p>
      <w:r>
        <w:rPr>
          <w:b/>
          <w:color w:val="1F3A5F"/>
          <w:sz w:val="22"/>
        </w:rPr>
        <w:t>Application: Working Student Generative AI and Agent Engineering in Munich</w:t>
      </w:r>
    </w:p>
    <w:p>
      <w:r>
        <w:rPr>
          <w:color w:val="1F2937"/>
          <w:sz w:val="21"/>
        </w:rPr>
        <w:t>Dear Hiring Team,</w:t>
      </w:r>
    </w:p>
    <w:p>
      <w:pPr>
        <w:spacing w:line="324" w:lineRule="auto"/>
        <w:jc w:val="both"/>
      </w:pPr>
      <w:r>
        <w:rPr>
          <w:color w:val="1F2937"/>
          <w:sz w:val="21"/>
        </w:rPr>
        <w:t>I am writing to apply for the Working Student Generative AI and Agent Engineering position at Infineon Technologies in Munich. As a Master's student in Data Science and Analytics at SRH Heidelberg based in Mannheim, analysing AI agents and frameworks, adapting them to business and engineering use cases, and customising prompts, workflows, and tools to improve agent performance maps closely to what I have built over the last several months.</w:t>
      </w:r>
    </w:p>
    <w:p>
      <w:pPr>
        <w:spacing w:line="324" w:lineRule="auto"/>
        <w:jc w:val="both"/>
      </w:pPr>
      <w:r>
        <w:rPr>
          <w:color w:val="1F2937"/>
          <w:sz w:val="21"/>
        </w:rPr>
        <w:t>In my Multi Agent RAG project I designed a LangGraph agent system with a LanguageAgent, a JudgeAgent, and dedicated retrieval agents. The JudgeAgent scores answers on 5 dimensions in JSON mode at temperature 0 and runs on a different local model from the generator to remove self preference bias. That experience judging agent capabilities and limits with measurable scores, rather than by impression, is what evaluating and prioritising use cases with measurable business value requires.</w:t>
      </w:r>
    </w:p>
    <w:p>
      <w:pPr>
        <w:spacing w:line="324" w:lineRule="auto"/>
        <w:jc w:val="both"/>
      </w:pPr>
      <w:r>
        <w:rPr>
          <w:color w:val="1F2937"/>
          <w:sz w:val="21"/>
        </w:rPr>
        <w:t>In my CreditIQ project I applied AIF360 mitigation to a credit scoring model, backed the pipeline with unit tests at 100 percent branch coverage, and shipped a Streamlit tool with a plain language LLM explanation and a full regulatory write up. That experience adapting AI to a demanding quality and compliance setting transfers directly to configuring agents for the Quality organization.</w:t>
      </w:r>
    </w:p>
    <w:p>
      <w:pPr>
        <w:spacing w:line="324" w:lineRule="auto"/>
        <w:jc w:val="both"/>
      </w:pPr>
      <w:r>
        <w:rPr>
          <w:color w:val="1F2937"/>
          <w:sz w:val="21"/>
        </w:rPr>
        <w:t>I work comfortably in Python, with prompt engineering, LLM workflows, and APIs.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am enrolled in a Master's programme, can commute to Munich, and can provide my enrollment certificate and transcript. I would welcome the chance to discuss how I could contribute.</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