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C6570"/>
          <w:sz w:val="18"/>
          <w:szCs w:val="18"/>
        </w:rPr>
        <w:t xml:space="preserve">Case Study 2  ·  MSc Data Science and Analytics, SRH Heidelberg</w:t>
      </w:r>
    </w:p>
    <w:p>
      <w:pPr>
        <w:spacing w:after="60"/>
      </w:pPr>
      <w:r>
        <w:rPr>
          <w:rFonts w:ascii="Calibri" w:cs="Calibri" w:eastAsia="Calibri" w:hAnsi="Calibri"/>
          <w:b/>
          <w:bCs/>
          <w:color w:val="1B1F24"/>
          <w:sz w:val="34"/>
          <w:szCs w:val="34"/>
        </w:rPr>
        <w:t xml:space="preserve">Evaluating EU AI Act High-Risk Classification Agents: when a faithfulness metric passes a legally wrong answer</w:t>
      </w:r>
    </w:p>
    <w:p>
      <w:pPr>
        <w:spacing w:after="220"/>
      </w:pPr>
      <w:r>
        <w:rPr>
          <w:rFonts w:ascii="Calibri" w:cs="Calibri" w:eastAsia="Calibri" w:hAnsi="Calibri"/>
          <w:color w:val="5C6570"/>
          <w:sz w:val="19"/>
          <w:szCs w:val="19"/>
        </w:rPr>
        <w:t xml:space="preserve">Rahul Rawat   ·   Supervisor: Prof. Swati Chandna   ·   Prototype draft, 18 September 2026</w:t>
      </w:r>
    </w:p>
    <w:tbl>
      <w:tblPr>
        <w:tblW w:type="dxa" w:w="9360"/>
        <w:tblBorders>
          <w:top w:val="single" w:color="F0D79A" w:sz="4"/>
          <w:left w:val="single" w:color="D9A520" w:sz="24"/>
          <w:bottom w:val="single" w:color="F0D79A" w:sz="4"/>
          <w:right w:val="single" w:color="F0D79A" w:sz="4"/>
          <w:insideH w:val="single" w:color="auto" w:sz="4"/>
          <w:insideV w:val="single" w:color="auto" w:sz="4"/>
        </w:tblBorders>
      </w:tblPr>
      <w:tblGrid>
        <w:gridCol w:w="9360"/>
      </w:tblGrid>
      <w:tr>
        <w:tc>
          <w:tcPr>
            <w:tcW w:type="dxa" w:w="9360"/>
            <w:shd w:fill="FFF7E6" w:val="clear"/>
            <w:tcMar>
              <w:top w:type="dxa" w:w="120"/>
              <w:left w:type="dxa" w:w="160"/>
              <w:bottom w:type="dxa" w:w="120"/>
              <w:right w:type="dxa" w:w="160"/>
            </w:tcMar>
          </w:tcPr>
          <w:p>
            <w:pPr>
              <w:spacing w:after="80" w:line="264"/>
            </w:pPr>
            <w:r>
              <w:rPr>
                <w:rFonts w:ascii="Calibri" w:cs="Calibri" w:eastAsia="Calibri" w:hAnsi="Calibri"/>
                <w:color w:val="7A5B12"/>
                <w:sz w:val="19"/>
                <w:szCs w:val="19"/>
              </w:rPr>
              <w:t xml:space="preserve">PROTOTYPE DRAFT. This is a working first draft of the case-study report, not a submission. It is written to be extended later into a publishable paper, so scope is deliberately that of a three-month case study.</w:t>
            </w:r>
          </w:p>
          <w:p>
            <w:pPr>
              <w:spacing w:after="0" w:line="264"/>
            </w:pPr>
            <w:r>
              <w:rPr>
                <w:rFonts w:ascii="Calibri" w:cs="Calibri" w:eastAsia="Calibri" w:hAnsi="Calibri"/>
                <w:color w:val="7A5B12"/>
                <w:sz w:val="19"/>
                <w:szCs w:val="19"/>
              </w:rPr>
              <w:t xml:space="preserve">The results in Section 6 are from a DEMO run, not the graded run. The generator was a free model (Groq gpt-oss-120b) on 40 rows, not the frozen claude-sonnet-4-6 over all 215 rows. Treat every number as an early signal that the pipeline works and the effect appears, never as a graded result. Forward-leaning statements are written as hypotheses to test.</w:t>
            </w:r>
          </w:p>
        </w:tc>
      </w:tr>
    </w:tbl>
    <w:p>
      <w:pPr>
        <w:spacing w:after="120" w:before="0" w:line="276"/>
      </w:pPr>
      <w:r>
        <w:rPr>
          <w:rFonts w:ascii="Calibri" w:cs="Calibri" w:eastAsia="Calibri" w:hAnsi="Calibri"/>
          <w:color w:val="1B1F24"/>
          <w:sz w:val="21"/>
          <w:szCs w:val="21"/>
        </w:rPr>
        <w:t xml:space="preserve"/>
      </w:r>
    </w:p>
    <w:p>
      <w:pPr>
        <w:pStyle w:val="Heading1"/>
        <w:spacing w:after="140" w:before="320"/>
      </w:pPr>
      <w:r>
        <w:rPr>
          <w:rFonts w:ascii="Calibri" w:cs="Calibri" w:eastAsia="Calibri" w:hAnsi="Calibri"/>
          <w:b/>
          <w:bCs/>
          <w:color w:val="1B1F24"/>
          <w:sz w:val="30"/>
          <w:szCs w:val="30"/>
        </w:rPr>
        <w:t xml:space="preserve">Abstract</w:t>
      </w:r>
    </w:p>
    <w:p>
      <w:pPr>
        <w:spacing w:after="140" w:before="0" w:line="276"/>
      </w:pPr>
      <w:r>
        <w:rPr>
          <w:rFonts w:ascii="Calibri" w:cs="Calibri" w:eastAsia="Calibri" w:hAnsi="Calibri"/>
          <w:color w:val="1B1F24"/>
          <w:sz w:val="21"/>
          <w:szCs w:val="21"/>
        </w:rPr>
        <w:t xml:space="preserve">Automated evaluation of retrieval-augmented systems leans heavily on faithfulness metrics: does the model's explanation stay grounded in the passages it was given. This case study asks whether a faithfulness metric is enough to trust a system that makes legal classifications. The task is EU AI Act high-risk classification of AI systems under the Article 6(2) and Annex III route, with Article 6(3) filter edge cases, judged against the European Commission's May 2026 draft guidelines, which carry authoritative labels for worked examples. The system under test is a retrieval-augmented compliance agent run in three prompt configurations. Two axes are measured independently: correctness, the predicted high-risk label against the frozen ground truth, and faithfulness, the RAGAS faithfulness of the explanation against the retrieved passages. The central question is whether these two axes come apart, that is, whether an answer can be well grounded in the text and still legally wrong (faithful but wrong), or legally right while poorly grounded (right but unfaithful). A demo run on 40 rows shows both off-diagonal cases appearing and a weak correlation between the axes, which is the effect the full graded study is designed to measure at scale.</w:t>
      </w:r>
    </w:p>
    <w:p>
      <w:pPr>
        <w:pStyle w:val="Heading1"/>
        <w:spacing w:after="140" w:before="320"/>
      </w:pPr>
      <w:r>
        <w:rPr>
          <w:rFonts w:ascii="Calibri" w:cs="Calibri" w:eastAsia="Calibri" w:hAnsi="Calibri"/>
          <w:b/>
          <w:bCs/>
          <w:color w:val="1B1F24"/>
          <w:sz w:val="30"/>
          <w:szCs w:val="30"/>
        </w:rPr>
        <w:t xml:space="preserve">1  Introduction</w:t>
      </w:r>
    </w:p>
    <w:p>
      <w:pPr>
        <w:spacing w:after="140" w:before="0" w:line="276"/>
      </w:pPr>
      <w:r>
        <w:rPr>
          <w:rFonts w:ascii="Calibri" w:cs="Calibri" w:eastAsia="Calibri" w:hAnsi="Calibri"/>
          <w:color w:val="1B1F24"/>
          <w:sz w:val="21"/>
          <w:szCs w:val="21"/>
        </w:rPr>
        <w:t xml:space="preserve">Retrieval-augmented generation is now the default recipe for question answering over a fixed body of text. A system retrieves passages relevant to a question and a language model writes an answer grounded in them. Because collecting human judgements is slow and expensive, the field increasingly evaluates these systems with automated metrics, and faithfulness is one of the most common. Faithfulness asks a narrow question: is every claim in the answer supported by the retrieved passages. It says nothing about whether the answer is actually correct.</w:t>
      </w:r>
    </w:p>
    <w:p>
      <w:pPr>
        <w:spacing w:after="140" w:before="0" w:line="276"/>
      </w:pPr>
      <w:r>
        <w:rPr>
          <w:rFonts w:ascii="Calibri" w:cs="Calibri" w:eastAsia="Calibri" w:hAnsi="Calibri"/>
          <w:color w:val="1B1F24"/>
          <w:sz w:val="21"/>
          <w:szCs w:val="21"/>
        </w:rPr>
        <w:t xml:space="preserve">For open-domain question answering that gap is often tolerable, because a well grounded answer is usually a good answer. For legal classification it is not. A compliance system can quote the right passage, reason cleanly from it, and still reach the wrong legal conclusion, because law turns on conditions and exemptions that a fluent, well-grounded paragraph can quietly step around. If the only automated signal we watch is faithfulness, that failure is invisible.</w:t>
      </w:r>
    </w:p>
    <w:p>
      <w:pPr>
        <w:spacing w:after="140" w:before="0" w:line="276"/>
      </w:pPr>
      <w:r>
        <w:rPr>
          <w:rFonts w:ascii="Calibri" w:cs="Calibri" w:eastAsia="Calibri" w:hAnsi="Calibri"/>
          <w:b/>
          <w:bCs/>
          <w:color w:val="1B1F24"/>
          <w:sz w:val="21"/>
          <w:szCs w:val="21"/>
        </w:rPr>
        <w:t xml:space="preserve">The contribution of this case study is the evaluation, not the tool. </w:t>
      </w:r>
      <w:r>
        <w:rPr>
          <w:rFonts w:ascii="Calibri" w:cs="Calibri" w:eastAsia="Calibri" w:hAnsi="Calibri"/>
          <w:color w:val="1B1F24"/>
          <w:sz w:val="21"/>
          <w:szCs w:val="21"/>
        </w:rPr>
        <w:t xml:space="preserve">The compliance agent is the system under test, a means of generating answers to measure. What is being examined is whether standard automated faithfulness can be trusted as a proxy for correctness on a real legal task, and what the failure looks like when it cannot. The study is framed around two failure shapes. </w:t>
      </w:r>
    </w:p>
    <w:p>
      <w:pPr>
        <w:pStyle w:val="ListParagraph"/>
        <w:numPr>
          <w:ilvl w:val="0"/>
          <w:numId w:val="2"/>
        </w:numPr>
        <w:spacing w:after="80" w:line="276"/>
      </w:pPr>
      <w:r>
        <w:rPr>
          <w:rFonts w:ascii="Calibri" w:cs="Calibri" w:eastAsia="Calibri" w:hAnsi="Calibri"/>
          <w:color w:val="1B1F24"/>
          <w:sz w:val="21"/>
          <w:szCs w:val="21"/>
        </w:rPr>
        <w:t xml:space="preserve">Faithful but wrong: the faithfulness metric rates the explanation as well grounded, while the legal label is wrong. This is the headline case, because it is the one a faithfulness-only evaluation would wave through.</w:t>
      </w:r>
    </w:p>
    <w:p>
      <w:pPr>
        <w:pStyle w:val="ListParagraph"/>
        <w:numPr>
          <w:ilvl w:val="0"/>
          <w:numId w:val="2"/>
        </w:numPr>
        <w:spacing w:after="80" w:line="276"/>
      </w:pPr>
      <w:r>
        <w:rPr>
          <w:rFonts w:ascii="Calibri" w:cs="Calibri" w:eastAsia="Calibri" w:hAnsi="Calibri"/>
          <w:color w:val="1B1F24"/>
          <w:sz w:val="21"/>
          <w:szCs w:val="21"/>
        </w:rPr>
        <w:t xml:space="preserve">Right but unfaithful: the label is correct but the reasoning is not grounded in the retrieved text, so a faithfulness gate would reject a correct answer.</w:t>
      </w:r>
    </w:p>
    <w:p>
      <w:pPr>
        <w:spacing w:after="140" w:before="0" w:line="276"/>
      </w:pPr>
      <w:r>
        <w:rPr>
          <w:rFonts w:ascii="Calibri" w:cs="Calibri" w:eastAsia="Calibri" w:hAnsi="Calibri"/>
          <w:color w:val="1B1F24"/>
          <w:sz w:val="21"/>
          <w:szCs w:val="21"/>
        </w:rPr>
        <w:t xml:space="preserve">Correctness and faithfulness are treated as two independent axes, giving four outcome buckets: right and faithful, right and unfaithful, wrong and faithful, wrong and unfaithful. The two off-diagonal buckets are the findings. The scientific posture is deliberate: the study measures whether the axes come apart, it does not assume the tool will fail. Every forward-leaning claim in this report is phrased as a hypothesis to test, and the design produces a real result in either direction.</w:t>
      </w:r>
    </w:p>
    <w:p>
      <w:pPr>
        <w:pStyle w:val="Heading1"/>
        <w:spacing w:after="140" w:before="320"/>
      </w:pPr>
      <w:r>
        <w:rPr>
          <w:rFonts w:ascii="Calibri" w:cs="Calibri" w:eastAsia="Calibri" w:hAnsi="Calibri"/>
          <w:b/>
          <w:bCs/>
          <w:color w:val="1B1F24"/>
          <w:sz w:val="30"/>
          <w:szCs w:val="30"/>
        </w:rPr>
        <w:t xml:space="preserve">2  Background and related work</w:t>
      </w:r>
    </w:p>
    <w:p>
      <w:pPr>
        <w:pStyle w:val="Heading2"/>
        <w:spacing w:after="100" w:before="240"/>
      </w:pPr>
      <w:r>
        <w:rPr>
          <w:rFonts w:ascii="Calibri" w:cs="Calibri" w:eastAsia="Calibri" w:hAnsi="Calibri"/>
          <w:b/>
          <w:bCs/>
          <w:color w:val="2B5C8A"/>
          <w:sz w:val="24"/>
          <w:szCs w:val="24"/>
        </w:rPr>
        <w:t xml:space="preserve">2.1  The legal task</w:t>
      </w:r>
    </w:p>
    <w:p>
      <w:pPr>
        <w:spacing w:after="140" w:before="0" w:line="276"/>
      </w:pPr>
      <w:r>
        <w:rPr>
          <w:rFonts w:ascii="Calibri" w:cs="Calibri" w:eastAsia="Calibri" w:hAnsi="Calibri"/>
          <w:color w:val="1B1F24"/>
          <w:sz w:val="21"/>
          <w:szCs w:val="21"/>
        </w:rPr>
        <w:t xml:space="preserve">The EU AI Act sorts AI systems by risk. A system is high-risk under one of two routes. The first, Article 6(1) with Annex I, covers systems that are safety components of products already regulated under EU product-safety law. That route is out of scope here: it is a separate body of product law with no clean per-system ground truth. The second, Article 6(2) with Annex III, lists eight areas (such as biometrics, critical infrastructure, employment, and essential services) where a system is high-risk if its intended purpose falls within a listed use case. This study is anchored to that second route.</w:t>
      </w:r>
    </w:p>
    <w:p>
      <w:pPr>
        <w:spacing w:after="140" w:before="0" w:line="276"/>
      </w:pPr>
      <w:r>
        <w:rPr>
          <w:rFonts w:ascii="Calibri" w:cs="Calibri" w:eastAsia="Calibri" w:hAnsi="Calibri"/>
          <w:color w:val="1B1F24"/>
          <w:sz w:val="21"/>
          <w:szCs w:val="21"/>
        </w:rPr>
        <w:t xml:space="preserve">Article 6(3) then adds a filter. A system that falls within an Annex III area can still be exempted from high-risk status if it only performs a narrow preparatory or procedural function and does not materially influence the outcome of a decision. There are four exemption conditions, with one hard override: a system that performs profiling of natural persons is always high-risk and can never use the exemption. These filter cases are the deliberately hard part of the task, because the surface description sits inside a high-risk area yet the correct label can be not-high-risk, or the reverse.</w:t>
      </w:r>
    </w:p>
    <w:p>
      <w:pPr>
        <w:pStyle w:val="Heading2"/>
        <w:spacing w:after="100" w:before="240"/>
      </w:pPr>
      <w:r>
        <w:rPr>
          <w:rFonts w:ascii="Calibri" w:cs="Calibri" w:eastAsia="Calibri" w:hAnsi="Calibri"/>
          <w:b/>
          <w:bCs/>
          <w:color w:val="2B5C8A"/>
          <w:sz w:val="24"/>
          <w:szCs w:val="24"/>
        </w:rPr>
        <w:t xml:space="preserve">2.2  Ground truth</w:t>
      </w:r>
    </w:p>
    <w:p>
      <w:pPr>
        <w:spacing w:after="140" w:before="0" w:line="276"/>
      </w:pPr>
      <w:r>
        <w:rPr>
          <w:rFonts w:ascii="Calibri" w:cs="Calibri" w:eastAsia="Calibri" w:hAnsi="Calibri"/>
          <w:color w:val="1B1F24"/>
          <w:sz w:val="21"/>
          <w:szCs w:val="21"/>
        </w:rPr>
        <w:t xml:space="preserve">The ground truth is the European Commission's May 2026 draft guidelines on the classification of high-risk AI systems (the Annex III document, together with the general-principles document). These guidelines contain worked examples, each with an authoritative label. That is what makes the central claim possible: without a known correct answer per input, there is no way to say a metric missed a legal error. The May 2026 version is frozen for the project; later updates are not chased mid-study.</w:t>
      </w:r>
    </w:p>
    <w:p>
      <w:pPr>
        <w:pStyle w:val="Heading2"/>
        <w:spacing w:after="100" w:before="240"/>
      </w:pPr>
      <w:r>
        <w:rPr>
          <w:rFonts w:ascii="Calibri" w:cs="Calibri" w:eastAsia="Calibri" w:hAnsi="Calibri"/>
          <w:b/>
          <w:bCs/>
          <w:color w:val="2B5C8A"/>
          <w:sz w:val="24"/>
          <w:szCs w:val="24"/>
        </w:rPr>
        <w:t xml:space="preserve">2.3  Automated faithfulness</w:t>
      </w:r>
    </w:p>
    <w:p>
      <w:pPr>
        <w:spacing w:after="140" w:before="0" w:line="276"/>
      </w:pPr>
      <w:r>
        <w:rPr>
          <w:rFonts w:ascii="Calibri" w:cs="Calibri" w:eastAsia="Calibri" w:hAnsi="Calibri"/>
          <w:color w:val="1B1F24"/>
          <w:sz w:val="21"/>
          <w:szCs w:val="21"/>
        </w:rPr>
        <w:t xml:space="preserve">The metric on trial is RAGAS faithfulness, a field-standard automated measure. It extracts the individual claims made in an answer and, for each, asks a judge model whether the retrieved context supports it. The score is the fraction of claims that are supported. By construction it looks only at grounding in the passages, not at whether the conclusion is legally correct. That structural blindness is precisely the property this study probes.</w:t>
      </w:r>
    </w:p>
    <w:p>
      <w:pPr>
        <w:pStyle w:val="Heading2"/>
        <w:spacing w:after="100" w:before="240"/>
      </w:pPr>
      <w:r>
        <w:rPr>
          <w:rFonts w:ascii="Calibri" w:cs="Calibri" w:eastAsia="Calibri" w:hAnsi="Calibri"/>
          <w:b/>
          <w:bCs/>
          <w:color w:val="2B5C8A"/>
          <w:sz w:val="24"/>
          <w:szCs w:val="24"/>
        </w:rPr>
        <w:t xml:space="preserve">2.4  Related evaluation work</w:t>
      </w:r>
    </w:p>
    <w:p>
      <w:pPr>
        <w:spacing w:after="140" w:before="0" w:line="276"/>
      </w:pPr>
      <w:r>
        <w:rPr>
          <w:rFonts w:ascii="Calibri" w:cs="Calibri" w:eastAsia="Calibri" w:hAnsi="Calibri"/>
          <w:color w:val="1B1F24"/>
          <w:sz w:val="21"/>
          <w:szCs w:val="21"/>
        </w:rPr>
        <w:t xml:space="preserve">Two lines of prior work frame the method. LexGLUE established benchmark tasks for legal-domain language understanding and is the reference point for treating legal classification as a measurable task rather than open-ended generation. ARES is a representative automated RAG evaluation framework, showing how faithfulness-style judgements can be produced at scale by an LLM judge rather than human annotators; it is part of the trend this study interrogates. Both were read in full and are cited as read.</w:t>
      </w:r>
    </w:p>
    <w:p>
      <w:pPr>
        <w:spacing w:after="140" w:before="0" w:line="276"/>
      </w:pPr>
      <w:r>
        <w:rPr>
          <w:rFonts w:ascii="Calibri" w:cs="Calibri" w:eastAsia="Calibri" w:hAnsi="Calibri"/>
          <w:b/>
          <w:bCs/>
          <w:color w:val="1B1F24"/>
          <w:sz w:val="21"/>
          <w:szCs w:val="21"/>
        </w:rPr>
        <w:t xml:space="preserve">OECD and NIST framing. </w:t>
      </w:r>
      <w:r>
        <w:rPr>
          <w:rFonts w:ascii="Calibri" w:cs="Calibri" w:eastAsia="Calibri" w:hAnsi="Calibri"/>
          <w:color w:val="1B1F24"/>
          <w:sz w:val="21"/>
          <w:szCs w:val="21"/>
        </w:rPr>
        <w:t xml:space="preserve">The OECD and NIST materials named in the project brief are used only as comparative framing in this section and as a source of realistic system descriptions for test inputs. They carry no EU high-risk labels, so they are never used as an answer key. There is one ground truth and one task: the Commission guidelines. No three-way framework comparison is attempted.</w:t>
      </w:r>
    </w:p>
    <w:p>
      <w:pPr>
        <w:spacing w:after="140" w:before="0" w:line="276"/>
      </w:pPr>
      <w:r>
        <w:rPr>
          <w:rFonts w:ascii="Calibri" w:cs="Calibri" w:eastAsia="Calibri" w:hAnsi="Calibri"/>
          <w:b/>
          <w:bCs/>
          <w:color w:val="C0392B"/>
          <w:sz w:val="21"/>
          <w:szCs w:val="21"/>
        </w:rPr>
        <w:t xml:space="preserve">[Draft note] </w:t>
      </w:r>
      <w:r>
        <w:rPr>
          <w:rFonts w:ascii="Calibri" w:cs="Calibri" w:eastAsia="Calibri" w:hAnsi="Calibri"/>
          <w:i/>
          <w:iCs/>
          <w:color w:val="5C6570"/>
          <w:sz w:val="21"/>
          <w:szCs w:val="21"/>
        </w:rPr>
        <w:t xml:space="preserve">The positioning of this study as a legal-domain extension of recent faithfulness-versus-correctness work (Wallat et al. 2025) is pending a full read of that paper before it is cited. It is flagged here so it is not forgotten, not relied on in this draft.</w:t>
      </w:r>
    </w:p>
    <w:p>
      <w:pPr>
        <w:pStyle w:val="Heading1"/>
        <w:spacing w:after="140" w:before="320"/>
      </w:pPr>
      <w:r>
        <w:rPr>
          <w:rFonts w:ascii="Calibri" w:cs="Calibri" w:eastAsia="Calibri" w:hAnsi="Calibri"/>
          <w:b/>
          <w:bCs/>
          <w:color w:val="1B1F24"/>
          <w:sz w:val="30"/>
          <w:szCs w:val="30"/>
        </w:rPr>
        <w:t xml:space="preserve">3  Task and evaluation set</w:t>
      </w:r>
    </w:p>
    <w:p>
      <w:pPr>
        <w:spacing w:after="140" w:before="0" w:line="276"/>
      </w:pPr>
      <w:r>
        <w:rPr>
          <w:rFonts w:ascii="Calibri" w:cs="Calibri" w:eastAsia="Calibri" w:hAnsi="Calibri"/>
          <w:color w:val="1B1F24"/>
          <w:sz w:val="21"/>
          <w:szCs w:val="21"/>
        </w:rPr>
        <w:t xml:space="preserve">The task is a single-shot binary classification. Given one system description, the agent outputs a label, high-risk or not-high-risk, plus a grounded explanation. There is no multi-turn dialogue and no advice-giving; recommending how to improve a system is out of scope because there is no official good-versus-bad answer key for it.</w:t>
      </w:r>
    </w:p>
    <w:p>
      <w:pPr>
        <w:spacing w:after="140" w:before="0" w:line="276"/>
      </w:pPr>
      <w:r>
        <w:rPr>
          <w:rFonts w:ascii="Calibri" w:cs="Calibri" w:eastAsia="Calibri" w:hAnsi="Calibri"/>
          <w:color w:val="1B1F24"/>
          <w:sz w:val="21"/>
          <w:szCs w:val="21"/>
        </w:rPr>
        <w:t xml:space="preserve">The evaluation set is 215 labelled cases, locked. Each case is a worked example lifted from the Commission guidelines, carrying its authoritative label, its Annex III area, and a source reference to the exact passage it came from. The set uses every case that survived automated cleanup, with no downsampling, so its class balance reflects the source rather than a design choice.</w:t>
      </w:r>
    </w:p>
    <w:p>
      <w:pPr>
        <w:pStyle w:val="Heading2"/>
        <w:spacing w:after="100" w:before="240"/>
      </w:pPr>
      <w:r>
        <w:rPr>
          <w:rFonts w:ascii="Calibri" w:cs="Calibri" w:eastAsia="Calibri" w:hAnsi="Calibri"/>
          <w:b/>
          <w:bCs/>
          <w:color w:val="2B5C8A"/>
          <w:sz w:val="24"/>
          <w:szCs w:val="24"/>
        </w:rPr>
        <w:t xml:space="preserve">3.1  Distribution</w:t>
      </w:r>
    </w:p>
    <w:tbl>
      <w:tblPr>
        <w:tblW w:type="dxa" w:w="9360"/>
        <w:tblBorders>
          <w:top w:val="single" w:color="D8DBE0" w:sz="4"/>
          <w:left w:val="single" w:color="D8DBE0" w:sz="4"/>
          <w:bottom w:val="single" w:color="D8DBE0" w:sz="4"/>
          <w:right w:val="single" w:color="D8DBE0" w:sz="4"/>
          <w:insideH w:val="single" w:color="D8DBE0" w:sz="4"/>
          <w:insideV w:val="single" w:color="D8DBE0" w:sz="4"/>
        </w:tblBorders>
      </w:tblPr>
      <w:tblGrid>
        <w:gridCol w:w="2680"/>
        <w:gridCol w:w="1560"/>
        <w:gridCol w:w="1720"/>
        <w:gridCol w:w="1720"/>
        <w:gridCol w:w="1680"/>
      </w:tblGrid>
      <w:tr>
        <w:trPr>
          <w:tblHeader/>
        </w:trPr>
        <w:tc>
          <w:tcPr>
            <w:tcW w:type="dxa" w:w="2680"/>
            <w:shd w:fill="F5F6F8" w:val="clear"/>
            <w:tcMar>
              <w:top w:type="dxa" w:w="60"/>
              <w:left w:type="dxa" w:w="90"/>
              <w:bottom w:type="dxa" w:w="60"/>
              <w:right w:type="dxa" w:w="90"/>
            </w:tcMar>
          </w:tcPr>
          <w:p>
            <w:pPr>
              <w:spacing w:after="0" w:line="260"/>
              <w:jc w:val="left"/>
            </w:pPr>
            <w:r>
              <w:rPr>
                <w:rFonts w:ascii="Calibri" w:cs="Calibri" w:eastAsia="Calibri" w:hAnsi="Calibri"/>
                <w:b/>
                <w:bCs/>
                <w:color w:val="1B1F24"/>
                <w:sz w:val="19"/>
                <w:szCs w:val="19"/>
              </w:rPr>
              <w:t xml:space="preserve">Annex III area</w:t>
            </w:r>
          </w:p>
        </w:tc>
        <w:tc>
          <w:tcPr>
            <w:tcW w:type="dxa" w:w="156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High-risk</w:t>
            </w:r>
          </w:p>
        </w:tc>
        <w:tc>
          <w:tcPr>
            <w:tcW w:type="dxa" w:w="172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Not-high-risk</w:t>
            </w:r>
          </w:p>
        </w:tc>
        <w:tc>
          <w:tcPr>
            <w:tcW w:type="dxa" w:w="172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Art 6(3) filter</w:t>
            </w:r>
          </w:p>
        </w:tc>
        <w:tc>
          <w:tcPr>
            <w:tcW w:type="dxa" w:w="168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Total</w:t>
            </w:r>
          </w:p>
        </w:tc>
      </w:tr>
      <w:tr>
        <w:trPr>
          <w:tblHeader w:val="false"/>
        </w:trPr>
        <w:tc>
          <w:tcPr>
            <w:tcW w:type="dxa" w:w="268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biometrics</w:t>
            </w:r>
          </w:p>
        </w:tc>
        <w:tc>
          <w:tcPr>
            <w:tcW w:type="dxa" w:w="15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14</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18</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w:t>
            </w:r>
          </w:p>
        </w:tc>
        <w:tc>
          <w:tcPr>
            <w:tcW w:type="dxa" w:w="168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32</w:t>
            </w:r>
          </w:p>
        </w:tc>
      </w:tr>
      <w:tr>
        <w:trPr>
          <w:tblHeader w:val="false"/>
        </w:trPr>
        <w:tc>
          <w:tcPr>
            <w:tcW w:type="dxa" w:w="268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critical-infrastructure</w:t>
            </w:r>
          </w:p>
        </w:tc>
        <w:tc>
          <w:tcPr>
            <w:tcW w:type="dxa" w:w="15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8</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10</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w:t>
            </w:r>
          </w:p>
        </w:tc>
        <w:tc>
          <w:tcPr>
            <w:tcW w:type="dxa" w:w="168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18</w:t>
            </w:r>
          </w:p>
        </w:tc>
      </w:tr>
      <w:tr>
        <w:trPr>
          <w:tblHeader w:val="false"/>
        </w:trPr>
        <w:tc>
          <w:tcPr>
            <w:tcW w:type="dxa" w:w="268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education</w:t>
            </w:r>
          </w:p>
        </w:tc>
        <w:tc>
          <w:tcPr>
            <w:tcW w:type="dxa" w:w="15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9</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19</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10</w:t>
            </w:r>
          </w:p>
        </w:tc>
        <w:tc>
          <w:tcPr>
            <w:tcW w:type="dxa" w:w="168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28</w:t>
            </w:r>
          </w:p>
        </w:tc>
      </w:tr>
      <w:tr>
        <w:trPr>
          <w:tblHeader w:val="false"/>
        </w:trPr>
        <w:tc>
          <w:tcPr>
            <w:tcW w:type="dxa" w:w="268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employment</w:t>
            </w:r>
          </w:p>
        </w:tc>
        <w:tc>
          <w:tcPr>
            <w:tcW w:type="dxa" w:w="15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14</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18</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7</w:t>
            </w:r>
          </w:p>
        </w:tc>
        <w:tc>
          <w:tcPr>
            <w:tcW w:type="dxa" w:w="168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32</w:t>
            </w:r>
          </w:p>
        </w:tc>
      </w:tr>
      <w:tr>
        <w:trPr>
          <w:tblHeader w:val="false"/>
        </w:trPr>
        <w:tc>
          <w:tcPr>
            <w:tcW w:type="dxa" w:w="268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essential-services</w:t>
            </w:r>
          </w:p>
        </w:tc>
        <w:tc>
          <w:tcPr>
            <w:tcW w:type="dxa" w:w="15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21</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22</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5</w:t>
            </w:r>
          </w:p>
        </w:tc>
        <w:tc>
          <w:tcPr>
            <w:tcW w:type="dxa" w:w="168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43</w:t>
            </w:r>
          </w:p>
        </w:tc>
      </w:tr>
      <w:tr>
        <w:trPr>
          <w:tblHeader w:val="false"/>
        </w:trPr>
        <w:tc>
          <w:tcPr>
            <w:tcW w:type="dxa" w:w="268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law-enforcement</w:t>
            </w:r>
          </w:p>
        </w:tc>
        <w:tc>
          <w:tcPr>
            <w:tcW w:type="dxa" w:w="15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23</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4</w:t>
            </w:r>
          </w:p>
        </w:tc>
        <w:tc>
          <w:tcPr>
            <w:tcW w:type="dxa" w:w="168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23</w:t>
            </w:r>
          </w:p>
        </w:tc>
      </w:tr>
      <w:tr>
        <w:trPr>
          <w:tblHeader w:val="false"/>
        </w:trPr>
        <w:tc>
          <w:tcPr>
            <w:tcW w:type="dxa" w:w="268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migration</w:t>
            </w:r>
          </w:p>
        </w:tc>
        <w:tc>
          <w:tcPr>
            <w:tcW w:type="dxa" w:w="15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23</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10</w:t>
            </w:r>
          </w:p>
        </w:tc>
        <w:tc>
          <w:tcPr>
            <w:tcW w:type="dxa" w:w="168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23</w:t>
            </w:r>
          </w:p>
        </w:tc>
      </w:tr>
      <w:tr>
        <w:trPr>
          <w:tblHeader w:val="false"/>
        </w:trPr>
        <w:tc>
          <w:tcPr>
            <w:tcW w:type="dxa" w:w="268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justice-democracy</w:t>
            </w:r>
          </w:p>
        </w:tc>
        <w:tc>
          <w:tcPr>
            <w:tcW w:type="dxa" w:w="15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16</w:t>
            </w:r>
          </w:p>
        </w:tc>
        <w:tc>
          <w:tcPr>
            <w:tcW w:type="dxa" w:w="17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5</w:t>
            </w:r>
          </w:p>
        </w:tc>
        <w:tc>
          <w:tcPr>
            <w:tcW w:type="dxa" w:w="168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16</w:t>
            </w:r>
          </w:p>
        </w:tc>
      </w:tr>
      <w:tr>
        <w:trPr>
          <w:tblHeader w:val="false"/>
        </w:trPr>
        <w:tc>
          <w:tcPr>
            <w:tcW w:type="dxa" w:w="2680"/>
            <w:tcMar>
              <w:top w:type="dxa" w:w="60"/>
              <w:left w:type="dxa" w:w="90"/>
              <w:bottom w:type="dxa" w:w="60"/>
              <w:right w:type="dxa" w:w="90"/>
            </w:tcMar>
          </w:tcPr>
          <w:p>
            <w:pPr>
              <w:spacing w:after="0" w:line="260"/>
              <w:jc w:val="left"/>
            </w:pPr>
            <w:r>
              <w:rPr>
                <w:rFonts w:ascii="Calibri" w:cs="Calibri" w:eastAsia="Calibri" w:hAnsi="Calibri"/>
                <w:b/>
                <w:bCs/>
                <w:color w:val="1B1F24"/>
                <w:sz w:val="19"/>
                <w:szCs w:val="19"/>
              </w:rPr>
              <w:t xml:space="preserve">Total</w:t>
            </w:r>
          </w:p>
        </w:tc>
        <w:tc>
          <w:tcPr>
            <w:tcW w:type="dxa" w:w="1560"/>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66</w:t>
            </w:r>
          </w:p>
        </w:tc>
        <w:tc>
          <w:tcPr>
            <w:tcW w:type="dxa" w:w="1720"/>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149</w:t>
            </w:r>
          </w:p>
        </w:tc>
        <w:tc>
          <w:tcPr>
            <w:tcW w:type="dxa" w:w="1720"/>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41</w:t>
            </w:r>
          </w:p>
        </w:tc>
        <w:tc>
          <w:tcPr>
            <w:tcW w:type="dxa" w:w="1680"/>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215</w:t>
            </w:r>
          </w:p>
        </w:tc>
      </w:tr>
    </w:tbl>
    <w:p>
      <w:pPr>
        <w:spacing w:after="60" w:before="0" w:line="276"/>
      </w:pPr>
      <w:r>
        <w:rPr>
          <w:rFonts w:ascii="Calibri" w:cs="Calibri" w:eastAsia="Calibri" w:hAnsi="Calibri"/>
          <w:color w:val="1B1F24"/>
          <w:sz w:val="21"/>
          <w:szCs w:val="21"/>
        </w:rPr>
        <w:t xml:space="preserve"/>
      </w:r>
    </w:p>
    <w:p>
      <w:pPr>
        <w:spacing w:after="140" w:before="0" w:line="276"/>
      </w:pPr>
      <w:r>
        <w:rPr>
          <w:rFonts w:ascii="Calibri" w:cs="Calibri" w:eastAsia="Calibri" w:hAnsi="Calibri"/>
          <w:color w:val="1B1F24"/>
          <w:sz w:val="21"/>
          <w:szCs w:val="21"/>
        </w:rPr>
        <w:t xml:space="preserve">The set is 30.7 percent high-risk and 69.3 percent not-high-risk. Because it is imbalanced, results are reported as per-class precision, recall and F1 alongside accuracy, so the minority high-risk class is not masked. The imbalance is stated as a limitation. Forty-one of the 215 cases are Article 6(3) filter edge cases and are analysed as a separate group.</w:t>
      </w:r>
    </w:p>
    <w:p>
      <w:pPr>
        <w:spacing w:after="140" w:before="0" w:line="276"/>
      </w:pPr>
      <w:r>
        <w:rPr>
          <w:rFonts w:ascii="Calibri" w:cs="Calibri" w:eastAsia="Calibri" w:hAnsi="Calibri"/>
          <w:b/>
          <w:bCs/>
          <w:color w:val="1B1F24"/>
          <w:sz w:val="21"/>
          <w:szCs w:val="21"/>
        </w:rPr>
        <w:t xml:space="preserve">Source asymmetry (disclosed by design). </w:t>
      </w:r>
      <w:r>
        <w:rPr>
          <w:rFonts w:ascii="Calibri" w:cs="Calibri" w:eastAsia="Calibri" w:hAnsi="Calibri"/>
          <w:color w:val="1B1F24"/>
          <w:sz w:val="21"/>
          <w:szCs w:val="21"/>
        </w:rPr>
        <w:t xml:space="preserve">Three areas (law-enforcement, migration, justice-democracy) contain no high-risk worked examples in the guidelines; every example there is either a filter case or an out-of-scope not-high-risk case. This is a property of the source, not sampling. The consequence is that the study tests high-risk detection in five areas and correct rejection in all eight.</w:t>
      </w:r>
    </w:p>
    <w:p>
      <w:pPr>
        <w:pStyle w:val="Heading1"/>
        <w:spacing w:after="140" w:before="320"/>
      </w:pPr>
      <w:r>
        <w:rPr>
          <w:rFonts w:ascii="Calibri" w:cs="Calibri" w:eastAsia="Calibri" w:hAnsi="Calibri"/>
          <w:b/>
          <w:bCs/>
          <w:color w:val="1B1F24"/>
          <w:sz w:val="30"/>
          <w:szCs w:val="30"/>
        </w:rPr>
        <w:t xml:space="preserve">4  System under test</w:t>
      </w:r>
    </w:p>
    <w:p>
      <w:pPr>
        <w:spacing w:after="140" w:before="0" w:line="276"/>
      </w:pPr>
      <w:r>
        <w:rPr>
          <w:rFonts w:ascii="Calibri" w:cs="Calibri" w:eastAsia="Calibri" w:hAnsi="Calibri"/>
          <w:color w:val="1B1F24"/>
          <w:sz w:val="21"/>
          <w:szCs w:val="21"/>
        </w:rPr>
        <w:t xml:space="preserve">The system under test is a retrieval-augmented compliance agent, run in three configurations that share one retrieval pipeline and one generator. Only the prompt differs, so any difference between configurations is attributable to the prompt, not to retrieval or model changes.</w:t>
      </w:r>
    </w:p>
    <w:p>
      <w:pPr>
        <w:pStyle w:val="ListParagraph"/>
        <w:numPr>
          <w:ilvl w:val="0"/>
          <w:numId w:val="2"/>
        </w:numPr>
        <w:spacing w:after="80" w:line="276"/>
      </w:pPr>
      <w:r>
        <w:rPr>
          <w:rFonts w:ascii="Calibri" w:cs="Calibri" w:eastAsia="Calibri" w:hAnsi="Calibri"/>
          <w:color w:val="1B1F24"/>
          <w:sz w:val="21"/>
          <w:szCs w:val="21"/>
        </w:rPr>
        <w:t xml:space="preserve">Baseline 1, plain LLM: no retrieval, label and a short reason only.</w:t>
      </w:r>
    </w:p>
    <w:p>
      <w:pPr>
        <w:pStyle w:val="ListParagraph"/>
        <w:numPr>
          <w:ilvl w:val="0"/>
          <w:numId w:val="2"/>
        </w:numPr>
        <w:spacing w:after="80" w:line="276"/>
      </w:pPr>
      <w:r>
        <w:rPr>
          <w:rFonts w:ascii="Calibri" w:cs="Calibri" w:eastAsia="Calibri" w:hAnsi="Calibri"/>
          <w:color w:val="1B1F24"/>
          <w:sz w:val="21"/>
          <w:szCs w:val="21"/>
        </w:rPr>
        <w:t xml:space="preserve">Baseline 2, standard RAG: the top-5 retrieved passages with a generic prompt, label plus a grounded explanation.</w:t>
      </w:r>
    </w:p>
    <w:p>
      <w:pPr>
        <w:pStyle w:val="ListParagraph"/>
        <w:numPr>
          <w:ilvl w:val="0"/>
          <w:numId w:val="2"/>
        </w:numPr>
        <w:spacing w:after="80" w:line="276"/>
      </w:pPr>
      <w:r>
        <w:rPr>
          <w:rFonts w:ascii="Calibri" w:cs="Calibri" w:eastAsia="Calibri" w:hAnsi="Calibri"/>
          <w:color w:val="1B1F24"/>
          <w:sz w:val="21"/>
          <w:szCs w:val="21"/>
        </w:rPr>
        <w:t xml:space="preserve">Proposed agent, structured: the same passages, but a prompt that explicitly walks the Article 6(2) and Annex III test and the Article 6(3) filter conditions.</w:t>
      </w:r>
    </w:p>
    <w:p>
      <w:pPr>
        <w:pStyle w:val="Heading2"/>
        <w:spacing w:after="100" w:before="240"/>
      </w:pPr>
      <w:r>
        <w:rPr>
          <w:rFonts w:ascii="Calibri" w:cs="Calibri" w:eastAsia="Calibri" w:hAnsi="Calibri"/>
          <w:b/>
          <w:bCs/>
          <w:color w:val="2B5C8A"/>
          <w:sz w:val="24"/>
          <w:szCs w:val="24"/>
        </w:rPr>
        <w:t xml:space="preserve">4.1  Reused retrieval infrastructure</w:t>
      </w:r>
    </w:p>
    <w:p>
      <w:pPr>
        <w:spacing w:after="140" w:before="0" w:line="276"/>
      </w:pPr>
      <w:r>
        <w:rPr>
          <w:rFonts w:ascii="Calibri" w:cs="Calibri" w:eastAsia="Calibri" w:hAnsi="Calibri"/>
          <w:color w:val="1B1F24"/>
          <w:sz w:val="21"/>
          <w:szCs w:val="21"/>
        </w:rPr>
        <w:t xml:space="preserve">The retrieval substrate is reused from a prior working RAG orchestrator (PolicyNeural). Only three of its components are used: document ingestion, embedding, and retrieval. This is stated once as reused infrastructure and is not claimed as a contribution. Every other component of that orchestrator was switched off on purpose. The debate, verifier, and evaluator agents were removed because they re-check or re-score the answer before it is emitted, which would mean the faithfulness score measures a self-correcting apparatus rather than the single generation step under study. The memory agent was removed because it adapts retrieval per query, which would make runs non-deterministic and break reproducibility. The topic, planner, guardrails, and summariser agents were removed as irrelevant to a single-shot classification. What is left is the plain retrieve-then-generate path.</w:t>
      </w:r>
    </w:p>
    <w:p>
      <w:pPr>
        <w:pStyle w:val="Heading2"/>
        <w:spacing w:after="100" w:before="240"/>
      </w:pPr>
      <w:r>
        <w:rPr>
          <w:rFonts w:ascii="Calibri" w:cs="Calibri" w:eastAsia="Calibri" w:hAnsi="Calibri"/>
          <w:b/>
          <w:bCs/>
          <w:color w:val="2B5C8A"/>
          <w:sz w:val="24"/>
          <w:szCs w:val="24"/>
        </w:rPr>
        <w:t xml:space="preserve">4.2  Corpus and chunking</w:t>
      </w:r>
    </w:p>
    <w:p>
      <w:pPr>
        <w:spacing w:after="140" w:before="0" w:line="276"/>
      </w:pPr>
      <w:r>
        <w:rPr>
          <w:rFonts w:ascii="Calibri" w:cs="Calibri" w:eastAsia="Calibri" w:hAnsi="Calibri"/>
          <w:color w:val="1B1F24"/>
          <w:sz w:val="21"/>
          <w:szCs w:val="21"/>
        </w:rPr>
        <w:t xml:space="preserve">The retrieval corpus is normative text only. The numbered normative paragraphs of the guidelines (the general principles including the Article 6(3) filter, and the eight Annex III areas) are chunked, one chunk per heading-and-paragraph unit, with footnotes attached to the paragraph they annotate. The worked examples and their stated verdicts are held out, because they are the test set and the ground truth; leaving them in the corpus would let the agent retrieve its own answer and collapse the very buckets the study exists to measure. Article 6(1) and Annex I are excluded as out of scope. The corpus is 400 chunks, all eight areas and the filter covered, leakage checks clean.</w:t>
      </w:r>
    </w:p>
    <w:p>
      <w:pPr>
        <w:spacing w:after="140" w:before="0" w:line="276"/>
      </w:pPr>
      <w:r>
        <w:rPr>
          <w:rFonts w:ascii="Calibri" w:cs="Calibri" w:eastAsia="Calibri" w:hAnsi="Calibri"/>
          <w:b/>
          <w:bCs/>
          <w:color w:val="1B1F24"/>
          <w:sz w:val="21"/>
          <w:szCs w:val="21"/>
        </w:rPr>
        <w:t xml:space="preserve">A corpus bug worth recording. </w:t>
      </w:r>
      <w:r>
        <w:rPr>
          <w:rFonts w:ascii="Calibri" w:cs="Calibri" w:eastAsia="Calibri" w:hAnsi="Calibri"/>
          <w:color w:val="1B1F24"/>
          <w:sz w:val="21"/>
          <w:szCs w:val="21"/>
        </w:rPr>
        <w:t xml:space="preserve">An earlier build misread footnote citation numbers (for example a date like "29 June 2000") as section headings and silently dropped 39 normative chunks across five sections, including all of the recruitment section. The retrieval evaluation in Section 6 is what caught it. After the fix the corpus went from 361 to 400 chunks with no sections lost and leakage still clean, and retrieval on the employment area recovered from a Hit@5 of 0.375 to 0.969. The buggy corpus is archived.</w:t>
      </w:r>
    </w:p>
    <w:p>
      <w:pPr>
        <w:pStyle w:val="Heading2"/>
        <w:spacing w:after="100" w:before="240"/>
      </w:pPr>
      <w:r>
        <w:rPr>
          <w:rFonts w:ascii="Calibri" w:cs="Calibri" w:eastAsia="Calibri" w:hAnsi="Calibri"/>
          <w:b/>
          <w:bCs/>
          <w:color w:val="2B5C8A"/>
          <w:sz w:val="24"/>
          <w:szCs w:val="24"/>
        </w:rPr>
        <w:t xml:space="preserve">4.3  Retrieval and generator</w:t>
      </w:r>
    </w:p>
    <w:p>
      <w:pPr>
        <w:spacing w:after="140" w:before="0" w:line="276"/>
      </w:pPr>
      <w:r>
        <w:rPr>
          <w:rFonts w:ascii="Calibri" w:cs="Calibri" w:eastAsia="Calibri" w:hAnsi="Calibri"/>
          <w:color w:val="1B1F24"/>
          <w:sz w:val="21"/>
          <w:szCs w:val="21"/>
        </w:rPr>
        <w:t xml:space="preserve">Retrieval is hybrid: BM25 sparse plus BAAI/bge-base-en-v1.5 dense over a local Chroma store, fused with a fixed alpha of 0.5, no tuning during evaluation. The top-5 passages go to the generator; the top-10 are logged per row for post-hoc analysis without re-running. The frozen generator is claude-sonnet-4-6 at temperature 0. The generator and the judge are always different model families, so nothing grades its own homework.</w:t>
      </w:r>
    </w:p>
    <w:p>
      <w:pPr>
        <w:pStyle w:val="Heading1"/>
        <w:spacing w:after="140" w:before="320"/>
      </w:pPr>
      <w:r>
        <w:rPr>
          <w:rFonts w:ascii="Calibri" w:cs="Calibri" w:eastAsia="Calibri" w:hAnsi="Calibri"/>
          <w:b/>
          <w:bCs/>
          <w:color w:val="1B1F24"/>
          <w:sz w:val="30"/>
          <w:szCs w:val="30"/>
        </w:rPr>
        <w:t xml:space="preserve">5  Evaluation framework</w:t>
      </w:r>
    </w:p>
    <w:p>
      <w:pPr>
        <w:spacing w:after="140" w:before="0" w:line="276"/>
      </w:pPr>
      <w:r>
        <w:rPr>
          <w:rFonts w:ascii="Calibri" w:cs="Calibri" w:eastAsia="Calibri" w:hAnsi="Calibri"/>
          <w:color w:val="1B1F24"/>
          <w:sz w:val="21"/>
          <w:szCs w:val="21"/>
        </w:rPr>
        <w:t xml:space="preserve">The framework separates four jobs, so the correctness signal and the faithfulness signal never touch each other.</w:t>
      </w:r>
    </w:p>
    <w:p>
      <w:pPr>
        <w:pStyle w:val="ListParagraph"/>
        <w:numPr>
          <w:ilvl w:val="0"/>
          <w:numId w:val="2"/>
        </w:numPr>
        <w:spacing w:after="80" w:line="276"/>
      </w:pPr>
      <w:r>
        <w:rPr>
          <w:rFonts w:ascii="Calibri" w:cs="Calibri" w:eastAsia="Calibri" w:hAnsi="Calibri"/>
          <w:color w:val="1B1F24"/>
          <w:sz w:val="21"/>
          <w:szCs w:val="21"/>
        </w:rPr>
        <w:t xml:space="preserve">Retriever: fetches relevant passages from the guidelines. Fixed and reused.</w:t>
      </w:r>
    </w:p>
    <w:p>
      <w:pPr>
        <w:pStyle w:val="ListParagraph"/>
        <w:numPr>
          <w:ilvl w:val="0"/>
          <w:numId w:val="2"/>
        </w:numPr>
        <w:spacing w:after="80" w:line="276"/>
      </w:pPr>
      <w:r>
        <w:rPr>
          <w:rFonts w:ascii="Calibri" w:cs="Calibri" w:eastAsia="Calibri" w:hAnsi="Calibri"/>
          <w:color w:val="1B1F24"/>
          <w:sz w:val="21"/>
          <w:szCs w:val="21"/>
        </w:rPr>
        <w:t xml:space="preserve">Generator: the agent's LLM, which writes the classification and the grounded explanation. Its output is what gets judged.</w:t>
      </w:r>
    </w:p>
    <w:p>
      <w:pPr>
        <w:pStyle w:val="ListParagraph"/>
        <w:numPr>
          <w:ilvl w:val="0"/>
          <w:numId w:val="2"/>
        </w:numPr>
        <w:spacing w:after="80" w:line="276"/>
      </w:pPr>
      <w:r>
        <w:rPr>
          <w:rFonts w:ascii="Calibri" w:cs="Calibri" w:eastAsia="Calibri" w:hAnsi="Calibri"/>
          <w:color w:val="1B1F24"/>
          <w:sz w:val="21"/>
          <w:szCs w:val="21"/>
        </w:rPr>
        <w:t xml:space="preserve">Judge: a separate LLM that computes RAGAS faithfulness of the generator's explanation against the retrieved passages.</w:t>
      </w:r>
    </w:p>
    <w:p>
      <w:pPr>
        <w:pStyle w:val="ListParagraph"/>
        <w:numPr>
          <w:ilvl w:val="0"/>
          <w:numId w:val="2"/>
        </w:numPr>
        <w:spacing w:after="80" w:line="276"/>
      </w:pPr>
      <w:r>
        <w:rPr>
          <w:rFonts w:ascii="Calibri" w:cs="Calibri" w:eastAsia="Calibri" w:hAnsi="Calibri"/>
          <w:color w:val="1B1F24"/>
          <w:sz w:val="21"/>
          <w:szCs w:val="21"/>
        </w:rPr>
        <w:t xml:space="preserve">Label check: a pure lookup of the predicted label against the frozen Commission ground truth. No model is involved.</w:t>
      </w:r>
    </w:p>
    <w:p>
      <w:pPr>
        <w:pStyle w:val="Heading2"/>
        <w:spacing w:after="100" w:before="240"/>
      </w:pPr>
      <w:r>
        <w:rPr>
          <w:rFonts w:ascii="Calibri" w:cs="Calibri" w:eastAsia="Calibri" w:hAnsi="Calibri"/>
          <w:b/>
          <w:bCs/>
          <w:color w:val="2B5C8A"/>
          <w:sz w:val="24"/>
          <w:szCs w:val="24"/>
        </w:rPr>
        <w:t xml:space="preserve">5.1  Correctness</w:t>
      </w:r>
    </w:p>
    <w:p>
      <w:pPr>
        <w:spacing w:after="140" w:before="0" w:line="276"/>
      </w:pPr>
      <w:r>
        <w:rPr>
          <w:rFonts w:ascii="Calibri" w:cs="Calibri" w:eastAsia="Calibri" w:hAnsi="Calibri"/>
          <w:color w:val="1B1F24"/>
          <w:sz w:val="21"/>
          <w:szCs w:val="21"/>
        </w:rPr>
        <w:t xml:space="preserve">Correctness compares the predicted label with the frozen gold label. It reports accuracy, per-class precision, recall and F1 with high-risk as the positive class, and confusion counts, broken down by area and by filter-versus-normal. A row whose output cannot be parsed into a clean label is counted as wrong and also reported separately, so parse failures are never hidden.</w:t>
      </w:r>
    </w:p>
    <w:p>
      <w:pPr>
        <w:pStyle w:val="Heading2"/>
        <w:spacing w:after="100" w:before="240"/>
      </w:pPr>
      <w:r>
        <w:rPr>
          <w:rFonts w:ascii="Calibri" w:cs="Calibri" w:eastAsia="Calibri" w:hAnsi="Calibri"/>
          <w:b/>
          <w:bCs/>
          <w:color w:val="2B5C8A"/>
          <w:sz w:val="24"/>
          <w:szCs w:val="24"/>
        </w:rPr>
        <w:t xml:space="preserve">5.2  Faithfulness</w:t>
      </w:r>
    </w:p>
    <w:p>
      <w:pPr>
        <w:spacing w:after="140" w:before="0" w:line="276"/>
      </w:pPr>
      <w:r>
        <w:rPr>
          <w:rFonts w:ascii="Calibri" w:cs="Calibri" w:eastAsia="Calibri" w:hAnsi="Calibri"/>
          <w:color w:val="1B1F24"/>
          <w:sz w:val="21"/>
          <w:szCs w:val="21"/>
        </w:rPr>
        <w:t xml:space="preserve">Faithfulness is RAGAS faithfulness: the judge extracts the statements in the explanation, then decides per statement whether the retrieved context supports it, and the score is supported over total. The question is the system description, the context is the top-5 passages the generator actually saw. Baseline 1 has no retrieval, so it has no faithfulness score by design. If a reply is not valid JSON and the explanation is lost, the row is still label-scored but skipped for faithfulness and reported as a no-explanation skip.</w:t>
      </w:r>
    </w:p>
    <w:p>
      <w:pPr>
        <w:pStyle w:val="Heading2"/>
        <w:spacing w:after="100" w:before="240"/>
      </w:pPr>
      <w:r>
        <w:rPr>
          <w:rFonts w:ascii="Calibri" w:cs="Calibri" w:eastAsia="Calibri" w:hAnsi="Calibri"/>
          <w:b/>
          <w:bCs/>
          <w:color w:val="2B5C8A"/>
          <w:sz w:val="24"/>
          <w:szCs w:val="24"/>
        </w:rPr>
        <w:t xml:space="preserve">5.3  The judge model</w:t>
      </w:r>
    </w:p>
    <w:p>
      <w:pPr>
        <w:spacing w:after="140" w:before="0" w:line="276"/>
      </w:pPr>
      <w:r>
        <w:rPr>
          <w:rFonts w:ascii="Calibri" w:cs="Calibri" w:eastAsia="Calibri" w:hAnsi="Calibri"/>
          <w:color w:val="1B1F24"/>
          <w:sz w:val="21"/>
          <w:szCs w:val="21"/>
        </w:rPr>
        <w:t xml:space="preserve">The judge is fixed and open, not from the generator's family, run offline in batch over the generator output files with greedy decoding and a pinned revision. In the demo it is Qwen2.5-72B-Instruct (AWQ-quantized to fit a single 48GB GPU on the university server). The AWQ quantization is a small, logged deviation from the plain 72B choice; it stays non-Anthropic, greedy, and a different family from the generator.</w:t>
      </w:r>
    </w:p>
    <w:p>
      <w:pPr>
        <w:pStyle w:val="Heading2"/>
        <w:spacing w:after="100" w:before="240"/>
      </w:pPr>
      <w:r>
        <w:rPr>
          <w:rFonts w:ascii="Calibri" w:cs="Calibri" w:eastAsia="Calibri" w:hAnsi="Calibri"/>
          <w:b/>
          <w:bCs/>
          <w:color w:val="2B5C8A"/>
          <w:sz w:val="24"/>
          <w:szCs w:val="24"/>
        </w:rPr>
        <w:t xml:space="preserve">5.4  The four buckets</w:t>
      </w:r>
    </w:p>
    <w:p>
      <w:pPr>
        <w:spacing w:after="140" w:before="0" w:line="276"/>
      </w:pPr>
      <w:r>
        <w:rPr>
          <w:rFonts w:ascii="Calibri" w:cs="Calibri" w:eastAsia="Calibri" w:hAnsi="Calibri"/>
          <w:color w:val="1B1F24"/>
          <w:sz w:val="21"/>
          <w:szCs w:val="21"/>
        </w:rPr>
        <w:t xml:space="preserve">Correctness and faithfulness are crossed into a two-by-two matrix. A faithfulness threshold turns the continuous score into faithful-versus-unfaithful; that threshold is surfaced as a knob, not baked in, and a sweep plus the continuous statistics are reported so nothing rests on one cut. The two off-diagonal cells, wrong-and-faithful and right-and-unfaithful, are the findings, and both are dumped in full for inspection.</w:t>
      </w:r>
    </w:p>
    <w:p>
      <w:pPr>
        <w:pStyle w:val="Heading1"/>
        <w:spacing w:after="140" w:before="320"/>
      </w:pPr>
      <w:r>
        <w:rPr>
          <w:rFonts w:ascii="Calibri" w:cs="Calibri" w:eastAsia="Calibri" w:hAnsi="Calibri"/>
          <w:b/>
          <w:bCs/>
          <w:color w:val="1B1F24"/>
          <w:sz w:val="30"/>
          <w:szCs w:val="30"/>
        </w:rPr>
        <w:t xml:space="preserve">6  Results (demo run)</w:t>
      </w:r>
    </w:p>
    <w:tbl>
      <w:tblPr>
        <w:tblW w:type="dxa" w:w="9360"/>
        <w:tblBorders>
          <w:top w:val="single" w:color="F0D79A" w:sz="4"/>
          <w:left w:val="single" w:color="D9A520" w:sz="24"/>
          <w:bottom w:val="single" w:color="F0D79A" w:sz="4"/>
          <w:right w:val="single" w:color="F0D79A" w:sz="4"/>
          <w:insideH w:val="single" w:color="auto" w:sz="4"/>
          <w:insideV w:val="single" w:color="auto" w:sz="4"/>
        </w:tblBorders>
      </w:tblPr>
      <w:tblGrid>
        <w:gridCol w:w="9360"/>
      </w:tblGrid>
      <w:tr>
        <w:tc>
          <w:tcPr>
            <w:tcW w:type="dxa" w:w="9360"/>
            <w:shd w:fill="FFF7E6" w:val="clear"/>
            <w:tcMar>
              <w:top w:type="dxa" w:w="120"/>
              <w:left w:type="dxa" w:w="160"/>
              <w:bottom w:type="dxa" w:w="120"/>
              <w:right w:type="dxa" w:w="160"/>
            </w:tcMar>
          </w:tcPr>
          <w:p>
            <w:pPr>
              <w:spacing w:after="0" w:line="264"/>
            </w:pPr>
            <w:r>
              <w:rPr>
                <w:rFonts w:ascii="Calibri" w:cs="Calibri" w:eastAsia="Calibri" w:hAnsi="Calibri"/>
                <w:color w:val="7A5B12"/>
                <w:sz w:val="19"/>
                <w:szCs w:val="19"/>
              </w:rPr>
              <w:t xml:space="preserve">Everything in this section is from a DEMO run: generator Groq gpt-oss-120b (a free model), 40 rows, agent_structured configuration only, judged by the real Qwen2.5-72B judge. It is NOT the frozen claude-sonnet-4-6 and NOT the full 215-row graded run. The baselines have not yet been run on these same 40 rows. Read these numbers as evidence the pipeline works end to end and the effect appears, not as graded results.</w:t>
            </w:r>
          </w:p>
        </w:tc>
      </w:tr>
    </w:tbl>
    <w:p>
      <w:pPr>
        <w:spacing w:after="100" w:before="0" w:line="276"/>
      </w:pPr>
      <w:r>
        <w:rPr>
          <w:rFonts w:ascii="Calibri" w:cs="Calibri" w:eastAsia="Calibri" w:hAnsi="Calibri"/>
          <w:color w:val="1B1F24"/>
          <w:sz w:val="21"/>
          <w:szCs w:val="21"/>
        </w:rPr>
        <w:t xml:space="preserve"/>
      </w:r>
    </w:p>
    <w:p>
      <w:pPr>
        <w:pStyle w:val="Heading2"/>
        <w:spacing w:after="100" w:before="240"/>
      </w:pPr>
      <w:r>
        <w:rPr>
          <w:rFonts w:ascii="Calibri" w:cs="Calibri" w:eastAsia="Calibri" w:hAnsi="Calibri"/>
          <w:b/>
          <w:bCs/>
          <w:color w:val="2B5C8A"/>
          <w:sz w:val="24"/>
          <w:szCs w:val="24"/>
        </w:rPr>
        <w:t xml:space="preserve">6.1  Retrieval quality (full 215, model-free)</w:t>
      </w:r>
    </w:p>
    <w:p>
      <w:pPr>
        <w:spacing w:after="140" w:before="0" w:line="276"/>
      </w:pPr>
      <w:r>
        <w:rPr>
          <w:rFonts w:ascii="Calibri" w:cs="Calibri" w:eastAsia="Calibri" w:hAnsi="Calibri"/>
          <w:color w:val="1B1F24"/>
          <w:sz w:val="21"/>
          <w:szCs w:val="21"/>
        </w:rPr>
        <w:t xml:space="preserve">Retrieval quality is measured against a section-level gold taken from each row's source reference, over all 215 rows. This needs no generator and no judge, so it is the most solid number available. All 215 rows map to an exact gold section.</w:t>
      </w:r>
    </w:p>
    <w:tbl>
      <w:tblPr>
        <w:tblW w:type="dxa" w:w="9360"/>
        <w:tblBorders>
          <w:top w:val="single" w:color="D8DBE0" w:sz="4"/>
          <w:left w:val="single" w:color="D8DBE0" w:sz="4"/>
          <w:bottom w:val="single" w:color="D8DBE0" w:sz="4"/>
          <w:right w:val="single" w:color="D8DBE0" w:sz="4"/>
          <w:insideH w:val="single" w:color="D8DBE0" w:sz="4"/>
          <w:insideV w:val="single" w:color="D8DBE0" w:sz="4"/>
        </w:tblBorders>
      </w:tblPr>
      <w:tblGrid>
        <w:gridCol w:w="3120"/>
        <w:gridCol w:w="2000"/>
        <w:gridCol w:w="2120"/>
        <w:gridCol w:w="2120"/>
      </w:tblGrid>
      <w:tr>
        <w:trPr>
          <w:tblHeader/>
        </w:trPr>
        <w:tc>
          <w:tcPr>
            <w:tcW w:type="dxa" w:w="3120"/>
            <w:shd w:fill="F5F6F8" w:val="clear"/>
            <w:tcMar>
              <w:top w:type="dxa" w:w="60"/>
              <w:left w:type="dxa" w:w="90"/>
              <w:bottom w:type="dxa" w:w="60"/>
              <w:right w:type="dxa" w:w="90"/>
            </w:tcMar>
          </w:tcPr>
          <w:p>
            <w:pPr>
              <w:spacing w:after="0" w:line="260"/>
              <w:jc w:val="left"/>
            </w:pPr>
            <w:r>
              <w:rPr>
                <w:rFonts w:ascii="Calibri" w:cs="Calibri" w:eastAsia="Calibri" w:hAnsi="Calibri"/>
                <w:b/>
                <w:bCs/>
                <w:color w:val="1B1F24"/>
                <w:sz w:val="19"/>
                <w:szCs w:val="19"/>
              </w:rPr>
              <w:t xml:space="preserve">Metric</w:t>
            </w:r>
          </w:p>
        </w:tc>
        <w:tc>
          <w:tcPr>
            <w:tcW w:type="dxa" w:w="200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Value</w:t>
            </w:r>
          </w:p>
        </w:tc>
        <w:tc>
          <w:tcPr>
            <w:tcW w:type="dxa" w:w="212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Filter cases (41)</w:t>
            </w:r>
          </w:p>
        </w:tc>
        <w:tc>
          <w:tcPr>
            <w:tcW w:type="dxa" w:w="212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Normal cases (174)</w:t>
            </w:r>
          </w:p>
        </w:tc>
      </w:tr>
      <w:tr>
        <w:trPr>
          <w:tblHeader w:val="false"/>
        </w:trPr>
        <w:tc>
          <w:tcPr>
            <w:tcW w:type="dxa" w:w="3120"/>
            <w:tcMar>
              <w:top w:type="dxa" w:w="60"/>
              <w:left w:type="dxa" w:w="90"/>
              <w:bottom w:type="dxa" w:w="60"/>
              <w:right w:type="dxa" w:w="90"/>
            </w:tcMar>
          </w:tcPr>
          <w:p>
            <w:pPr>
              <w:spacing w:after="0" w:line="260"/>
              <w:jc w:val="left"/>
            </w:pPr>
            <w:r>
              <w:rPr>
                <w:rFonts w:ascii="Calibri" w:cs="Calibri" w:eastAsia="Calibri" w:hAnsi="Calibri"/>
                <w:b/>
                <w:bCs/>
                <w:color w:val="1B1F24"/>
                <w:sz w:val="19"/>
                <w:szCs w:val="19"/>
              </w:rPr>
              <w:t xml:space="preserve">Hit@5 (primary)</w:t>
            </w:r>
          </w:p>
        </w:tc>
        <w:tc>
          <w:tcPr>
            <w:tcW w:type="dxa" w:w="2000"/>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0.833</w:t>
            </w:r>
          </w:p>
        </w:tc>
        <w:tc>
          <w:tcPr>
            <w:tcW w:type="dxa" w:w="21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0.707</w:t>
            </w:r>
          </w:p>
        </w:tc>
        <w:tc>
          <w:tcPr>
            <w:tcW w:type="dxa" w:w="21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0.862</w:t>
            </w:r>
          </w:p>
        </w:tc>
      </w:tr>
      <w:tr>
        <w:trPr>
          <w:tblHeader w:val="false"/>
        </w:trPr>
        <w:tc>
          <w:tcPr>
            <w:tcW w:type="dxa" w:w="312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Hit@10</w:t>
            </w:r>
          </w:p>
        </w:tc>
        <w:tc>
          <w:tcPr>
            <w:tcW w:type="dxa" w:w="200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0.898</w:t>
            </w:r>
          </w:p>
        </w:tc>
        <w:tc>
          <w:tcPr>
            <w:tcW w:type="dxa" w:w="21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0.780</w:t>
            </w:r>
          </w:p>
        </w:tc>
        <w:tc>
          <w:tcPr>
            <w:tcW w:type="dxa" w:w="21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0.925</w:t>
            </w:r>
          </w:p>
        </w:tc>
      </w:tr>
      <w:tr>
        <w:trPr>
          <w:tblHeader w:val="false"/>
        </w:trPr>
        <w:tc>
          <w:tcPr>
            <w:tcW w:type="dxa" w:w="312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MRR</w:t>
            </w:r>
          </w:p>
        </w:tc>
        <w:tc>
          <w:tcPr>
            <w:tcW w:type="dxa" w:w="200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0.633</w:t>
            </w:r>
          </w:p>
        </w:tc>
        <w:tc>
          <w:tcPr>
            <w:tcW w:type="dxa" w:w="21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0.437</w:t>
            </w:r>
          </w:p>
        </w:tc>
        <w:tc>
          <w:tcPr>
            <w:tcW w:type="dxa" w:w="21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0.679</w:t>
            </w:r>
          </w:p>
        </w:tc>
      </w:tr>
    </w:tbl>
    <w:p>
      <w:pPr>
        <w:spacing w:after="40" w:before="0" w:line="276"/>
      </w:pPr>
      <w:r>
        <w:rPr>
          <w:rFonts w:ascii="Calibri" w:cs="Calibri" w:eastAsia="Calibri" w:hAnsi="Calibri"/>
          <w:color w:val="1B1F24"/>
          <w:sz w:val="21"/>
          <w:szCs w:val="21"/>
        </w:rPr>
        <w:t xml:space="preserve"/>
      </w:r>
    </w:p>
    <w:p>
      <w:pPr>
        <w:spacing w:after="140" w:before="0" w:line="276"/>
      </w:pPr>
      <w:r>
        <w:rPr>
          <w:rFonts w:ascii="Calibri" w:cs="Calibri" w:eastAsia="Calibri" w:hAnsi="Calibri"/>
          <w:color w:val="1B1F24"/>
          <w:sz w:val="21"/>
          <w:szCs w:val="21"/>
        </w:rPr>
        <w:t xml:space="preserve">Retrieval is strongest on biometrics and employment (Hit@5 around 0.97) and weakest on migration and law-enforcement (around 0.65) and on the Article 6(3) filter cases (0.71 versus 0.86 for clean cases). The pattern is expected: the filter and the two thin areas are exactly where the correct passage is hardest to surface, which is worth carrying into the discussion of where wrong answers cluster.</w:t>
      </w:r>
    </w:p>
    <w:p>
      <w:pPr>
        <w:pStyle w:val="Heading2"/>
        <w:spacing w:after="100" w:before="240"/>
      </w:pPr>
      <w:r>
        <w:rPr>
          <w:rFonts w:ascii="Calibri" w:cs="Calibri" w:eastAsia="Calibri" w:hAnsi="Calibri"/>
          <w:b/>
          <w:bCs/>
          <w:color w:val="2B5C8A"/>
          <w:sz w:val="24"/>
          <w:szCs w:val="24"/>
        </w:rPr>
        <w:t xml:space="preserve">6.2  Correctness (demo, 40 rows)</w:t>
      </w:r>
    </w:p>
    <w:tbl>
      <w:tblPr>
        <w:tblW w:type="dxa" w:w="9360"/>
        <w:tblBorders>
          <w:top w:val="single" w:color="D8DBE0" w:sz="4"/>
          <w:left w:val="single" w:color="D8DBE0" w:sz="4"/>
          <w:bottom w:val="single" w:color="D8DBE0" w:sz="4"/>
          <w:right w:val="single" w:color="D8DBE0" w:sz="4"/>
          <w:insideH w:val="single" w:color="D8DBE0" w:sz="4"/>
          <w:insideV w:val="single" w:color="D8DBE0" w:sz="4"/>
        </w:tblBorders>
      </w:tblPr>
      <w:tblGrid>
        <w:gridCol w:w="3400"/>
        <w:gridCol w:w="1480"/>
        <w:gridCol w:w="1480"/>
        <w:gridCol w:w="1480"/>
        <w:gridCol w:w="1520"/>
      </w:tblGrid>
      <w:tr>
        <w:trPr>
          <w:tblHeader/>
        </w:trPr>
        <w:tc>
          <w:tcPr>
            <w:tcW w:type="dxa" w:w="3400"/>
            <w:shd w:fill="F5F6F8" w:val="clear"/>
            <w:tcMar>
              <w:top w:type="dxa" w:w="60"/>
              <w:left w:type="dxa" w:w="90"/>
              <w:bottom w:type="dxa" w:w="60"/>
              <w:right w:type="dxa" w:w="90"/>
            </w:tcMar>
          </w:tcPr>
          <w:p>
            <w:pPr>
              <w:spacing w:after="0" w:line="260"/>
              <w:jc w:val="left"/>
            </w:pPr>
            <w:r>
              <w:rPr>
                <w:rFonts w:ascii="Calibri" w:cs="Calibri" w:eastAsia="Calibri" w:hAnsi="Calibri"/>
                <w:b/>
                <w:bCs/>
                <w:color w:val="1B1F24"/>
                <w:sz w:val="19"/>
                <w:szCs w:val="19"/>
              </w:rPr>
              <w:t xml:space="preserve">n</w:t>
            </w:r>
          </w:p>
        </w:tc>
        <w:tc>
          <w:tcPr>
            <w:tcW w:type="dxa" w:w="148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Accuracy</w:t>
            </w:r>
          </w:p>
        </w:tc>
        <w:tc>
          <w:tcPr>
            <w:tcW w:type="dxa" w:w="148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HR precision</w:t>
            </w:r>
          </w:p>
        </w:tc>
        <w:tc>
          <w:tcPr>
            <w:tcW w:type="dxa" w:w="148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HR recall</w:t>
            </w:r>
          </w:p>
        </w:tc>
        <w:tc>
          <w:tcPr>
            <w:tcW w:type="dxa" w:w="152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HR F1</w:t>
            </w:r>
          </w:p>
        </w:tc>
      </w:tr>
      <w:tr>
        <w:trPr>
          <w:tblHeader w:val="false"/>
        </w:trPr>
        <w:tc>
          <w:tcPr>
            <w:tcW w:type="dxa" w:w="340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40</w:t>
            </w:r>
          </w:p>
        </w:tc>
        <w:tc>
          <w:tcPr>
            <w:tcW w:type="dxa" w:w="148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0.775</w:t>
            </w:r>
          </w:p>
        </w:tc>
        <w:tc>
          <w:tcPr>
            <w:tcW w:type="dxa" w:w="148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0.773</w:t>
            </w:r>
          </w:p>
        </w:tc>
        <w:tc>
          <w:tcPr>
            <w:tcW w:type="dxa" w:w="148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0.850</w:t>
            </w:r>
          </w:p>
        </w:tc>
        <w:tc>
          <w:tcPr>
            <w:tcW w:type="dxa" w:w="152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0.810</w:t>
            </w:r>
          </w:p>
        </w:tc>
      </w:tr>
    </w:tbl>
    <w:p>
      <w:pPr>
        <w:spacing w:after="40" w:before="0" w:line="276"/>
      </w:pPr>
      <w:r>
        <w:rPr>
          <w:rFonts w:ascii="Calibri" w:cs="Calibri" w:eastAsia="Calibri" w:hAnsi="Calibri"/>
          <w:color w:val="1B1F24"/>
          <w:sz w:val="21"/>
          <w:szCs w:val="21"/>
        </w:rPr>
        <w:t xml:space="preserve"/>
      </w:r>
    </w:p>
    <w:p>
      <w:pPr>
        <w:spacing w:after="140" w:before="0" w:line="276"/>
      </w:pPr>
      <w:r>
        <w:rPr>
          <w:rFonts w:ascii="Calibri" w:cs="Calibri" w:eastAsia="Calibri" w:hAnsi="Calibri"/>
          <w:color w:val="1B1F24"/>
          <w:sz w:val="21"/>
          <w:szCs w:val="21"/>
        </w:rPr>
        <w:t xml:space="preserve">Confusion with high-risk as positive: 17 true positives, 5 false positives, 3 false negatives, 15 true negatives. Three rows (7.5 percent) were parse failures, scored as wrong. This says the agent runs and classifies at a plausible level on easy rows; it is not a graded accuracy claim.</w:t>
      </w:r>
    </w:p>
    <w:p>
      <w:pPr>
        <w:pStyle w:val="Heading2"/>
        <w:spacing w:after="100" w:before="240"/>
      </w:pPr>
      <w:r>
        <w:rPr>
          <w:rFonts w:ascii="Calibri" w:cs="Calibri" w:eastAsia="Calibri" w:hAnsi="Calibri"/>
          <w:b/>
          <w:bCs/>
          <w:color w:val="2B5C8A"/>
          <w:sz w:val="24"/>
          <w:szCs w:val="24"/>
        </w:rPr>
        <w:t xml:space="preserve">6.3  Faithfulness (demo, 40 rows)</w:t>
      </w:r>
    </w:p>
    <w:p>
      <w:pPr>
        <w:spacing w:after="140" w:before="0" w:line="276"/>
      </w:pPr>
      <w:r>
        <w:rPr>
          <w:rFonts w:ascii="Calibri" w:cs="Calibri" w:eastAsia="Calibri" w:hAnsi="Calibri"/>
          <w:color w:val="1B1F24"/>
          <w:sz w:val="21"/>
          <w:szCs w:val="21"/>
        </w:rPr>
        <w:t xml:space="preserve">Of 40 rows, 37 were scored and 3 skipped as no-explanation. Mean faithfulness was 0.542, with 2 rows fully grounded (1.0) and 1 fully ungrounded (0.0). The score spreads across the range rather than piling at 1.0, which is what makes the crossing with correctness meaningful.</w:t>
      </w:r>
    </w:p>
    <w:p>
      <w:pPr>
        <w:pStyle w:val="Heading2"/>
        <w:spacing w:after="100" w:before="240"/>
      </w:pPr>
      <w:r>
        <w:rPr>
          <w:rFonts w:ascii="Calibri" w:cs="Calibri" w:eastAsia="Calibri" w:hAnsi="Calibri"/>
          <w:b/>
          <w:bCs/>
          <w:color w:val="2B5C8A"/>
          <w:sz w:val="24"/>
          <w:szCs w:val="24"/>
        </w:rPr>
        <w:t xml:space="preserve">6.4  The four-bucket matrix (threshold 0.5)</w:t>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2400"/>
        <w:gridCol w:w="3480"/>
        <w:gridCol w:w="3480"/>
      </w:tblGrid>
      <w:tr>
        <w:tc>
          <w:tcPr>
            <w:tcW w:type="dxa" w:w="240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
            </w:r>
          </w:p>
        </w:tc>
        <w:tc>
          <w:tcPr>
            <w:tcW w:type="dxa" w:w="348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Explanation faithful</w:t>
            </w:r>
          </w:p>
        </w:tc>
        <w:tc>
          <w:tcPr>
            <w:tcW w:type="dxa" w:w="348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Explanation unfaithful</w:t>
            </w:r>
          </w:p>
        </w:tc>
      </w:tr>
      <w:tr>
        <w:tc>
          <w:tcPr>
            <w:tcW w:type="dxa" w:w="240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Label right</w:t>
            </w:r>
          </w:p>
        </w:tc>
        <w:tc>
          <w:tcPr>
            <w:tcW w:type="dxa" w:w="3480"/>
            <w:shd w:fill="2F8F5B" w:val="clear"/>
            <w:tcMar>
              <w:top w:type="dxa" w:w="130"/>
              <w:left w:type="dxa" w:w="120"/>
              <w:bottom w:type="dxa" w:w="130"/>
              <w:right w:type="dxa" w:w="120"/>
            </w:tcMar>
          </w:tcPr>
          <w:p>
            <w:pPr>
              <w:spacing w:after="20"/>
              <w:jc w:val="center"/>
            </w:pPr>
            <w:r>
              <w:rPr>
                <w:rFonts w:ascii="Calibri" w:cs="Calibri" w:eastAsia="Calibri" w:hAnsi="Calibri"/>
                <w:b/>
                <w:bCs/>
                <w:color w:val="FFFFFF"/>
                <w:sz w:val="40"/>
                <w:szCs w:val="40"/>
              </w:rPr>
              <w:t xml:space="preserve">20</w:t>
            </w:r>
          </w:p>
          <w:p>
            <w:pPr>
              <w:spacing w:after="0"/>
              <w:jc w:val="center"/>
            </w:pPr>
            <w:r>
              <w:rPr>
                <w:rFonts w:ascii="Calibri" w:cs="Calibri" w:eastAsia="Calibri" w:hAnsi="Calibri"/>
                <w:color w:val="FFFFFF"/>
                <w:sz w:val="17"/>
                <w:szCs w:val="17"/>
              </w:rPr>
              <w:t xml:space="preserve">right + faithful</w:t>
            </w:r>
          </w:p>
        </w:tc>
        <w:tc>
          <w:tcPr>
            <w:tcW w:type="dxa" w:w="3480"/>
            <w:shd w:fill="B7791F" w:val="clear"/>
            <w:tcMar>
              <w:top w:type="dxa" w:w="130"/>
              <w:left w:type="dxa" w:w="120"/>
              <w:bottom w:type="dxa" w:w="130"/>
              <w:right w:type="dxa" w:w="120"/>
            </w:tcMar>
          </w:tcPr>
          <w:p>
            <w:pPr>
              <w:spacing w:after="20"/>
              <w:jc w:val="center"/>
            </w:pPr>
            <w:r>
              <w:rPr>
                <w:rFonts w:ascii="Calibri" w:cs="Calibri" w:eastAsia="Calibri" w:hAnsi="Calibri"/>
                <w:b/>
                <w:bCs/>
                <w:color w:val="FFFFFF"/>
                <w:sz w:val="40"/>
                <w:szCs w:val="40"/>
              </w:rPr>
              <w:t xml:space="preserve">10</w:t>
            </w:r>
          </w:p>
          <w:p>
            <w:pPr>
              <w:spacing w:after="0"/>
              <w:jc w:val="center"/>
            </w:pPr>
            <w:r>
              <w:rPr>
                <w:rFonts w:ascii="Calibri" w:cs="Calibri" w:eastAsia="Calibri" w:hAnsi="Calibri"/>
                <w:color w:val="FFFFFF"/>
                <w:sz w:val="17"/>
                <w:szCs w:val="17"/>
              </w:rPr>
              <w:t xml:space="preserve">right + unfaithful  (finding)</w:t>
            </w:r>
          </w:p>
        </w:tc>
      </w:tr>
      <w:tr>
        <w:tc>
          <w:tcPr>
            <w:tcW w:type="dxa" w:w="240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Label wrong</w:t>
            </w:r>
          </w:p>
        </w:tc>
        <w:tc>
          <w:tcPr>
            <w:tcW w:type="dxa" w:w="3480"/>
            <w:shd w:fill="C0392B" w:val="clear"/>
            <w:tcMar>
              <w:top w:type="dxa" w:w="130"/>
              <w:left w:type="dxa" w:w="120"/>
              <w:bottom w:type="dxa" w:w="130"/>
              <w:right w:type="dxa" w:w="120"/>
            </w:tcMar>
          </w:tcPr>
          <w:p>
            <w:pPr>
              <w:spacing w:after="20"/>
              <w:jc w:val="center"/>
            </w:pPr>
            <w:r>
              <w:rPr>
                <w:rFonts w:ascii="Calibri" w:cs="Calibri" w:eastAsia="Calibri" w:hAnsi="Calibri"/>
                <w:b/>
                <w:bCs/>
                <w:color w:val="FFFFFF"/>
                <w:sz w:val="40"/>
                <w:szCs w:val="40"/>
              </w:rPr>
              <w:t xml:space="preserve">3</w:t>
            </w:r>
          </w:p>
          <w:p>
            <w:pPr>
              <w:spacing w:after="0"/>
              <w:jc w:val="center"/>
            </w:pPr>
            <w:r>
              <w:rPr>
                <w:rFonts w:ascii="Calibri" w:cs="Calibri" w:eastAsia="Calibri" w:hAnsi="Calibri"/>
                <w:color w:val="FFFFFF"/>
                <w:sz w:val="17"/>
                <w:szCs w:val="17"/>
              </w:rPr>
              <w:t xml:space="preserve">wrong + faithful  (headline)</w:t>
            </w:r>
          </w:p>
        </w:tc>
        <w:tc>
          <w:tcPr>
            <w:tcW w:type="dxa" w:w="3480"/>
            <w:shd w:fill="7F8C8D" w:val="clear"/>
            <w:tcMar>
              <w:top w:type="dxa" w:w="130"/>
              <w:left w:type="dxa" w:w="120"/>
              <w:bottom w:type="dxa" w:w="130"/>
              <w:right w:type="dxa" w:w="120"/>
            </w:tcMar>
          </w:tcPr>
          <w:p>
            <w:pPr>
              <w:spacing w:after="20"/>
              <w:jc w:val="center"/>
            </w:pPr>
            <w:r>
              <w:rPr>
                <w:rFonts w:ascii="Calibri" w:cs="Calibri" w:eastAsia="Calibri" w:hAnsi="Calibri"/>
                <w:b/>
                <w:bCs/>
                <w:color w:val="FFFFFF"/>
                <w:sz w:val="40"/>
                <w:szCs w:val="40"/>
              </w:rPr>
              <w:t xml:space="preserve">4</w:t>
            </w:r>
          </w:p>
          <w:p>
            <w:pPr>
              <w:spacing w:after="0"/>
              <w:jc w:val="center"/>
            </w:pPr>
            <w:r>
              <w:rPr>
                <w:rFonts w:ascii="Calibri" w:cs="Calibri" w:eastAsia="Calibri" w:hAnsi="Calibri"/>
                <w:color w:val="FFFFFF"/>
                <w:sz w:val="17"/>
                <w:szCs w:val="17"/>
              </w:rPr>
              <w:t xml:space="preserve">wrong + unfaithful</w:t>
            </w:r>
          </w:p>
        </w:tc>
      </w:tr>
    </w:tbl>
    <w:p>
      <w:pPr>
        <w:spacing w:after="60" w:before="0" w:line="276"/>
      </w:pPr>
      <w:r>
        <w:rPr>
          <w:rFonts w:ascii="Calibri" w:cs="Calibri" w:eastAsia="Calibri" w:hAnsi="Calibri"/>
          <w:color w:val="1B1F24"/>
          <w:sz w:val="21"/>
          <w:szCs w:val="21"/>
        </w:rPr>
        <w:t xml:space="preserve"/>
      </w:r>
    </w:p>
    <w:p>
      <w:pPr>
        <w:spacing w:after="140" w:before="0" w:line="276"/>
      </w:pPr>
      <w:r>
        <w:rPr>
          <w:rFonts w:ascii="Calibri" w:cs="Calibri" w:eastAsia="Calibri" w:hAnsi="Calibri"/>
          <w:color w:val="1B1F24"/>
          <w:sz w:val="21"/>
          <w:szCs w:val="21"/>
        </w:rPr>
        <w:t xml:space="preserve">Both off-diagonal buckets populate even at n=37. Ten rows are right but unfaithful (correct label, poorly grounded explanation) and three are wrong but faithful (the headline: a well grounded explanation that a faithfulness metric would pass, attached to a wrong legal label). That is both failure shapes appearing in a small demo.</w:t>
      </w:r>
    </w:p>
    <w:p>
      <w:pPr>
        <w:spacing w:after="140" w:before="0" w:line="276"/>
      </w:pPr>
      <w:r>
        <w:rPr>
          <w:rFonts w:ascii="Calibri" w:cs="Calibri" w:eastAsia="Calibri" w:hAnsi="Calibri"/>
          <w:b/>
          <w:bCs/>
          <w:color w:val="1B1F24"/>
          <w:sz w:val="21"/>
          <w:szCs w:val="21"/>
        </w:rPr>
        <w:t xml:space="preserve">Continuous view. </w:t>
      </w:r>
      <w:r>
        <w:rPr>
          <w:rFonts w:ascii="Calibri" w:cs="Calibri" w:eastAsia="Calibri" w:hAnsi="Calibri"/>
          <w:color w:val="1B1F24"/>
          <w:sz w:val="21"/>
          <w:szCs w:val="21"/>
        </w:rPr>
        <w:t xml:space="preserve">Mean faithfulness was 0.581 when the label was right and 0.375 when wrong, with a point-biserial correlation between correctness and faithfulness of +0.33. A positive but weak correlation is the point: faithfulness carries some signal about correctness but is far from a substitute for it. The right reading is that the axes come apart, not that they are fully independent.</w:t>
      </w:r>
    </w:p>
    <w:p>
      <w:pPr>
        <w:pStyle w:val="Heading2"/>
        <w:spacing w:after="100" w:before="240"/>
      </w:pPr>
      <w:r>
        <w:rPr>
          <w:rFonts w:ascii="Calibri" w:cs="Calibri" w:eastAsia="Calibri" w:hAnsi="Calibri"/>
          <w:b/>
          <w:bCs/>
          <w:color w:val="2B5C8A"/>
          <w:sz w:val="24"/>
          <w:szCs w:val="24"/>
        </w:rPr>
        <w:t xml:space="preserve">6.5  Threshold sensitivity</w:t>
      </w:r>
    </w:p>
    <w:p>
      <w:pPr>
        <w:spacing w:after="140" w:before="0" w:line="276"/>
      </w:pPr>
      <w:r>
        <w:rPr>
          <w:rFonts w:ascii="Calibri" w:cs="Calibri" w:eastAsia="Calibri" w:hAnsi="Calibri"/>
          <w:color w:val="1B1F24"/>
          <w:sz w:val="21"/>
          <w:szCs w:val="21"/>
        </w:rPr>
        <w:t xml:space="preserve">The off-diagonal counts move with the faithfulness cut, so the sweep is reported rather than a single number. The wrong-and-faithful cell in particular is fragile: it is present at low and mid thresholds and empties at high ones.</w:t>
      </w:r>
    </w:p>
    <w:tbl>
      <w:tblPr>
        <w:tblW w:type="dxa" w:w="9360"/>
        <w:tblBorders>
          <w:top w:val="single" w:color="D8DBE0" w:sz="4"/>
          <w:left w:val="single" w:color="D8DBE0" w:sz="4"/>
          <w:bottom w:val="single" w:color="D8DBE0" w:sz="4"/>
          <w:right w:val="single" w:color="D8DBE0" w:sz="4"/>
          <w:insideH w:val="single" w:color="D8DBE0" w:sz="4"/>
          <w:insideV w:val="single" w:color="D8DBE0" w:sz="4"/>
        </w:tblBorders>
      </w:tblPr>
      <w:tblGrid>
        <w:gridCol w:w="2040"/>
        <w:gridCol w:w="1860"/>
        <w:gridCol w:w="1860"/>
        <w:gridCol w:w="1860"/>
        <w:gridCol w:w="1740"/>
      </w:tblGrid>
      <w:tr>
        <w:trPr>
          <w:tblHeader/>
        </w:trPr>
        <w:tc>
          <w:tcPr>
            <w:tcW w:type="dxa" w:w="2040"/>
            <w:shd w:fill="F5F6F8" w:val="clear"/>
            <w:tcMar>
              <w:top w:type="dxa" w:w="60"/>
              <w:left w:type="dxa" w:w="90"/>
              <w:bottom w:type="dxa" w:w="60"/>
              <w:right w:type="dxa" w:w="90"/>
            </w:tcMar>
          </w:tcPr>
          <w:p>
            <w:pPr>
              <w:spacing w:after="0" w:line="260"/>
              <w:jc w:val="left"/>
            </w:pPr>
            <w:r>
              <w:rPr>
                <w:rFonts w:ascii="Calibri" w:cs="Calibri" w:eastAsia="Calibri" w:hAnsi="Calibri"/>
                <w:b/>
                <w:bCs/>
                <w:color w:val="1B1F24"/>
                <w:sz w:val="19"/>
                <w:szCs w:val="19"/>
              </w:rPr>
              <w:t xml:space="preserve">Threshold</w:t>
            </w:r>
          </w:p>
        </w:tc>
        <w:tc>
          <w:tcPr>
            <w:tcW w:type="dxa" w:w="186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right+faithful</w:t>
            </w:r>
          </w:p>
        </w:tc>
        <w:tc>
          <w:tcPr>
            <w:tcW w:type="dxa" w:w="186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right+unfaithful</w:t>
            </w:r>
          </w:p>
        </w:tc>
        <w:tc>
          <w:tcPr>
            <w:tcW w:type="dxa" w:w="186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wrong+faithful</w:t>
            </w:r>
          </w:p>
        </w:tc>
        <w:tc>
          <w:tcPr>
            <w:tcW w:type="dxa" w:w="1740"/>
            <w:shd w:fill="F5F6F8" w:val="clear"/>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wrong+unfaithful</w:t>
            </w:r>
          </w:p>
        </w:tc>
      </w:tr>
      <w:tr>
        <w:trPr>
          <w:tblHeader w:val="false"/>
        </w:trPr>
        <w:tc>
          <w:tcPr>
            <w:tcW w:type="dxa" w:w="204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0.3</w:t>
            </w:r>
          </w:p>
        </w:tc>
        <w:tc>
          <w:tcPr>
            <w:tcW w:type="dxa" w:w="18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27</w:t>
            </w:r>
          </w:p>
        </w:tc>
        <w:tc>
          <w:tcPr>
            <w:tcW w:type="dxa" w:w="18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3</w:t>
            </w:r>
          </w:p>
        </w:tc>
        <w:tc>
          <w:tcPr>
            <w:tcW w:type="dxa" w:w="18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5</w:t>
            </w:r>
          </w:p>
        </w:tc>
        <w:tc>
          <w:tcPr>
            <w:tcW w:type="dxa" w:w="174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2</w:t>
            </w:r>
          </w:p>
        </w:tc>
      </w:tr>
      <w:tr>
        <w:trPr>
          <w:tblHeader w:val="false"/>
        </w:trPr>
        <w:tc>
          <w:tcPr>
            <w:tcW w:type="dxa" w:w="2040"/>
            <w:tcMar>
              <w:top w:type="dxa" w:w="60"/>
              <w:left w:type="dxa" w:w="90"/>
              <w:bottom w:type="dxa" w:w="60"/>
              <w:right w:type="dxa" w:w="90"/>
            </w:tcMar>
          </w:tcPr>
          <w:p>
            <w:pPr>
              <w:spacing w:after="0" w:line="260"/>
              <w:jc w:val="left"/>
            </w:pPr>
            <w:r>
              <w:rPr>
                <w:rFonts w:ascii="Calibri" w:cs="Calibri" w:eastAsia="Calibri" w:hAnsi="Calibri"/>
                <w:b/>
                <w:bCs/>
                <w:color w:val="1B1F24"/>
                <w:sz w:val="19"/>
                <w:szCs w:val="19"/>
              </w:rPr>
              <w:t xml:space="preserve">0.5</w:t>
            </w:r>
          </w:p>
        </w:tc>
        <w:tc>
          <w:tcPr>
            <w:tcW w:type="dxa" w:w="1860"/>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20</w:t>
            </w:r>
          </w:p>
        </w:tc>
        <w:tc>
          <w:tcPr>
            <w:tcW w:type="dxa" w:w="1860"/>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10</w:t>
            </w:r>
          </w:p>
        </w:tc>
        <w:tc>
          <w:tcPr>
            <w:tcW w:type="dxa" w:w="1860"/>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3</w:t>
            </w:r>
          </w:p>
        </w:tc>
        <w:tc>
          <w:tcPr>
            <w:tcW w:type="dxa" w:w="1740"/>
            <w:tcMar>
              <w:top w:type="dxa" w:w="60"/>
              <w:left w:type="dxa" w:w="90"/>
              <w:bottom w:type="dxa" w:w="60"/>
              <w:right w:type="dxa" w:w="90"/>
            </w:tcMar>
          </w:tcPr>
          <w:p>
            <w:pPr>
              <w:spacing w:after="0" w:line="260"/>
              <w:jc w:val="center"/>
            </w:pPr>
            <w:r>
              <w:rPr>
                <w:rFonts w:ascii="Calibri" w:cs="Calibri" w:eastAsia="Calibri" w:hAnsi="Calibri"/>
                <w:b/>
                <w:bCs/>
                <w:color w:val="1B1F24"/>
                <w:sz w:val="19"/>
                <w:szCs w:val="19"/>
              </w:rPr>
              <w:t xml:space="preserve">4</w:t>
            </w:r>
          </w:p>
        </w:tc>
      </w:tr>
      <w:tr>
        <w:trPr>
          <w:tblHeader w:val="false"/>
        </w:trPr>
        <w:tc>
          <w:tcPr>
            <w:tcW w:type="dxa" w:w="204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0.7</w:t>
            </w:r>
          </w:p>
        </w:tc>
        <w:tc>
          <w:tcPr>
            <w:tcW w:type="dxa" w:w="18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12</w:t>
            </w:r>
          </w:p>
        </w:tc>
        <w:tc>
          <w:tcPr>
            <w:tcW w:type="dxa" w:w="18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18</w:t>
            </w:r>
          </w:p>
        </w:tc>
        <w:tc>
          <w:tcPr>
            <w:tcW w:type="dxa" w:w="18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w:t>
            </w:r>
          </w:p>
        </w:tc>
        <w:tc>
          <w:tcPr>
            <w:tcW w:type="dxa" w:w="174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7</w:t>
            </w:r>
          </w:p>
        </w:tc>
      </w:tr>
      <w:tr>
        <w:trPr>
          <w:tblHeader w:val="false"/>
        </w:trPr>
        <w:tc>
          <w:tcPr>
            <w:tcW w:type="dxa" w:w="204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0.9</w:t>
            </w:r>
          </w:p>
        </w:tc>
        <w:tc>
          <w:tcPr>
            <w:tcW w:type="dxa" w:w="18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2</w:t>
            </w:r>
          </w:p>
        </w:tc>
        <w:tc>
          <w:tcPr>
            <w:tcW w:type="dxa" w:w="18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28</w:t>
            </w:r>
          </w:p>
        </w:tc>
        <w:tc>
          <w:tcPr>
            <w:tcW w:type="dxa" w:w="18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w:t>
            </w:r>
          </w:p>
        </w:tc>
        <w:tc>
          <w:tcPr>
            <w:tcW w:type="dxa" w:w="174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7</w:t>
            </w:r>
          </w:p>
        </w:tc>
      </w:tr>
      <w:tr>
        <w:trPr>
          <w:tblHeader w:val="false"/>
        </w:trPr>
        <w:tc>
          <w:tcPr>
            <w:tcW w:type="dxa" w:w="2040"/>
            <w:tcMar>
              <w:top w:type="dxa" w:w="60"/>
              <w:left w:type="dxa" w:w="90"/>
              <w:bottom w:type="dxa" w:w="60"/>
              <w:right w:type="dxa" w:w="90"/>
            </w:tcMar>
          </w:tcPr>
          <w:p>
            <w:pPr>
              <w:spacing w:after="0" w:line="260"/>
              <w:jc w:val="left"/>
            </w:pPr>
            <w:r>
              <w:rPr>
                <w:rFonts w:ascii="Calibri" w:cs="Calibri" w:eastAsia="Calibri" w:hAnsi="Calibri"/>
                <w:b w:val="function bold() { [native code] }"/>
                <w:bCs w:val="function bold() { [native code] }"/>
                <w:color w:val="1B1F24"/>
                <w:sz w:val="19"/>
                <w:szCs w:val="19"/>
              </w:rPr>
              <w:t xml:space="preserve">1.0</w:t>
            </w:r>
          </w:p>
        </w:tc>
        <w:tc>
          <w:tcPr>
            <w:tcW w:type="dxa" w:w="18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2</w:t>
            </w:r>
          </w:p>
        </w:tc>
        <w:tc>
          <w:tcPr>
            <w:tcW w:type="dxa" w:w="18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28</w:t>
            </w:r>
          </w:p>
        </w:tc>
        <w:tc>
          <w:tcPr>
            <w:tcW w:type="dxa" w:w="186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0</w:t>
            </w:r>
          </w:p>
        </w:tc>
        <w:tc>
          <w:tcPr>
            <w:tcW w:type="dxa" w:w="1740"/>
            <w:tcMar>
              <w:top w:type="dxa" w:w="60"/>
              <w:left w:type="dxa" w:w="90"/>
              <w:bottom w:type="dxa" w:w="60"/>
              <w:right w:type="dxa" w:w="90"/>
            </w:tcMar>
          </w:tcPr>
          <w:p>
            <w:pPr>
              <w:spacing w:after="0" w:line="260"/>
              <w:jc w:val="center"/>
            </w:pPr>
            <w:r>
              <w:rPr>
                <w:rFonts w:ascii="Calibri" w:cs="Calibri" w:eastAsia="Calibri" w:hAnsi="Calibri"/>
                <w:b w:val="function bold() { [native code] }"/>
                <w:bCs w:val="function bold() { [native code] }"/>
                <w:color w:val="1B1F24"/>
                <w:sz w:val="19"/>
                <w:szCs w:val="19"/>
              </w:rPr>
              <w:t xml:space="preserve">7</w:t>
            </w:r>
          </w:p>
        </w:tc>
      </w:tr>
    </w:tbl>
    <w:p>
      <w:pPr>
        <w:pStyle w:val="Heading2"/>
        <w:spacing w:after="100" w:before="240"/>
      </w:pPr>
      <w:r>
        <w:rPr>
          <w:rFonts w:ascii="Calibri" w:cs="Calibri" w:eastAsia="Calibri" w:hAnsi="Calibri"/>
          <w:b/>
          <w:bCs/>
          <w:color w:val="2B5C8A"/>
          <w:sz w:val="24"/>
          <w:szCs w:val="24"/>
        </w:rPr>
        <w:t xml:space="preserve">6.6  A poster case for faithful-but-wrong</w:t>
      </w:r>
    </w:p>
    <w:p>
      <w:pPr>
        <w:spacing w:after="60" w:before="0" w:line="276"/>
      </w:pPr>
      <w:r>
        <w:rPr>
          <w:rFonts w:ascii="Calibri" w:cs="Calibri" w:eastAsia="Calibri" w:hAnsi="Calibri"/>
          <w:color w:val="1B1F24"/>
          <w:sz w:val="21"/>
          <w:szCs w:val="21"/>
        </w:rPr>
        <w:t xml:space="preserve">Case anx3-036 (critical infrastructure) is the cleanest illustration. The correct answer is high-risk; the model said not-high-risk; faithfulness was 0.62 (5 of 8 statements grounded), so the metric counted it as faithful.</w:t>
      </w:r>
    </w:p>
    <w:p>
      <w:pPr>
        <w:pBdr>
          <w:left w:val="single" w:color="C0392B" w:sz="18" w:space="12"/>
        </w:pBdr>
        <w:shd w:fill="F5F6F8" w:val="clear"/>
        <w:spacing w:after="40" w:before="40" w:line="264"/>
      </w:pPr>
      <w:r>
        <w:rPr>
          <w:rFonts w:ascii="Calibri" w:cs="Calibri" w:eastAsia="Calibri" w:hAnsi="Calibri"/>
          <w:i/>
          <w:iCs/>
          <w:color w:val="1B1F24"/>
          <w:sz w:val="19"/>
          <w:szCs w:val="19"/>
        </w:rPr>
        <w:t xml:space="preserve">System: an AI system to monitor road traffic and adjust traffic lights accordingly, controlling or limiting physical harm to people and damage to vehicles and surroundings by protecting the physical integrity of road traffic management.</w:t>
      </w:r>
    </w:p>
    <w:p>
      <w:pPr>
        <w:spacing w:after="140" w:before="60" w:line="276"/>
      </w:pPr>
      <w:r>
        <w:rPr>
          <w:rFonts w:ascii="Calibri" w:cs="Calibri" w:eastAsia="Calibri" w:hAnsi="Calibri"/>
          <w:color w:val="1B1F24"/>
          <w:sz w:val="21"/>
          <w:szCs w:val="21"/>
        </w:rPr>
        <w:t xml:space="preserve">The model's explanation reasoned that such a system is high-risk only if it is used by an entity designated as a critical entity under the CER Directive, noted the description does not say so, and concluded not-high-risk. The reasoning is fluent and mostly grounded in the retrieved passages, which is why the faithfulness judge passed it. But the legal conclusion is wrong. A faithfulness-only evaluation would have accepted this answer. That is the whole thesis in one row.</w:t>
      </w:r>
    </w:p>
    <w:p>
      <w:pPr>
        <w:spacing w:after="140" w:before="0" w:line="276"/>
      </w:pPr>
      <w:r>
        <w:rPr>
          <w:rFonts w:ascii="Calibri" w:cs="Calibri" w:eastAsia="Calibri" w:hAnsi="Calibri"/>
          <w:b/>
          <w:bCs/>
          <w:color w:val="1B1F24"/>
          <w:sz w:val="21"/>
          <w:szCs w:val="21"/>
        </w:rPr>
        <w:t xml:space="preserve">Honest caveat. </w:t>
      </w:r>
      <w:r>
        <w:rPr>
          <w:rFonts w:ascii="Calibri" w:cs="Calibri" w:eastAsia="Calibri" w:hAnsi="Calibri"/>
          <w:color w:val="1B1F24"/>
          <w:sz w:val="21"/>
          <w:szCs w:val="21"/>
        </w:rPr>
        <w:t xml:space="preserve">One of the three demo wrong-and-faithful rows (anx3-022, border cameras) has a suspicious gold label (its source text is written as a conditional), so it should be audited before it is counted. Treat the demo as roughly two solid faithful-but-wrong cases, not three.</w:t>
      </w:r>
    </w:p>
    <w:p>
      <w:pPr>
        <w:pStyle w:val="Heading1"/>
        <w:spacing w:after="140" w:before="320"/>
      </w:pPr>
      <w:r>
        <w:rPr>
          <w:rFonts w:ascii="Calibri" w:cs="Calibri" w:eastAsia="Calibri" w:hAnsi="Calibri"/>
          <w:b/>
          <w:bCs/>
          <w:color w:val="1B1F24"/>
          <w:sz w:val="30"/>
          <w:szCs w:val="30"/>
        </w:rPr>
        <w:t xml:space="preserve">7  Discussion</w:t>
      </w:r>
    </w:p>
    <w:p>
      <w:pPr>
        <w:spacing w:after="140" w:before="0" w:line="276"/>
      </w:pPr>
      <w:r>
        <w:rPr>
          <w:rFonts w:ascii="Calibri" w:cs="Calibri" w:eastAsia="Calibri" w:hAnsi="Calibri"/>
          <w:color w:val="1B1F24"/>
          <w:sz w:val="21"/>
          <w:szCs w:val="21"/>
        </w:rPr>
        <w:t xml:space="preserve">The demo is too small and off-spec to conclude anything graded, but it does what a prototype should: it shows the machinery produces the measurement the study needs, and it gives an early read on the hypotheses.</w:t>
      </w:r>
    </w:p>
    <w:p>
      <w:pPr>
        <w:spacing w:after="140" w:before="0" w:line="276"/>
      </w:pPr>
      <w:r>
        <w:rPr>
          <w:rFonts w:ascii="Calibri" w:cs="Calibri" w:eastAsia="Calibri" w:hAnsi="Calibri"/>
          <w:color w:val="1B1F24"/>
          <w:sz w:val="21"/>
          <w:szCs w:val="21"/>
        </w:rPr>
        <w:t xml:space="preserve">The working hypothesis, that correctness and faithfulness come apart on this task, is consistent with the demo. Both off-diagonal buckets appear, and the correctness-faithfulness correlation is positive but weak. If that holds on the graded run, the practical claim is that a faithfulness-only gate is not safe for legal classification: it would pass well-grounded but wrong answers, and reject correct answers whose reasoning is thin. The right-but-unfaithful bucket is worth as much attention as the headline, because it is the larger and cleaner one in the demo and it undercuts using faithfulness as an accept-or-reject gate from the other side.</w:t>
      </w:r>
    </w:p>
    <w:p>
      <w:pPr>
        <w:spacing w:after="140" w:before="0" w:line="276"/>
      </w:pPr>
      <w:r>
        <w:rPr>
          <w:rFonts w:ascii="Calibri" w:cs="Calibri" w:eastAsia="Calibri" w:hAnsi="Calibri"/>
          <w:color w:val="1B1F24"/>
          <w:sz w:val="21"/>
          <w:szCs w:val="21"/>
        </w:rPr>
        <w:t xml:space="preserve">A second pattern to test is whether wrong answers concentrate where retrieval is weakest, the filter cases and the thin areas, since retrieval quality already drops there. If wrong-and-faithful rows cluster in the filter cases, the story sharpens: the metric is most likely to mislead exactly where the law is hardest.</w:t>
      </w:r>
    </w:p>
    <w:p>
      <w:pPr>
        <w:pStyle w:val="Heading1"/>
        <w:spacing w:after="140" w:before="320"/>
      </w:pPr>
      <w:r>
        <w:rPr>
          <w:rFonts w:ascii="Calibri" w:cs="Calibri" w:eastAsia="Calibri" w:hAnsi="Calibri"/>
          <w:b/>
          <w:bCs/>
          <w:color w:val="1B1F24"/>
          <w:sz w:val="30"/>
          <w:szCs w:val="30"/>
        </w:rPr>
        <w:t xml:space="preserve">8  Limitations</w:t>
      </w:r>
    </w:p>
    <w:p>
      <w:pPr>
        <w:pStyle w:val="ListParagraph"/>
        <w:numPr>
          <w:ilvl w:val="0"/>
          <w:numId w:val="2"/>
        </w:numPr>
        <w:spacing w:after="80" w:line="276"/>
      </w:pPr>
      <w:r>
        <w:rPr>
          <w:rFonts w:ascii="Calibri" w:cs="Calibri" w:eastAsia="Calibri" w:hAnsi="Calibri"/>
          <w:color w:val="1B1F24"/>
          <w:sz w:val="21"/>
          <w:szCs w:val="21"/>
        </w:rPr>
        <w:t xml:space="preserve">The demo generator is a free model (gpt-oss-120b), not the frozen claude-sonnet-4-6, so no demo number is graded.</w:t>
      </w:r>
    </w:p>
    <w:p>
      <w:pPr>
        <w:pStyle w:val="ListParagraph"/>
        <w:numPr>
          <w:ilvl w:val="0"/>
          <w:numId w:val="2"/>
        </w:numPr>
        <w:spacing w:after="80" w:line="276"/>
      </w:pPr>
      <w:r>
        <w:rPr>
          <w:rFonts w:ascii="Calibri" w:cs="Calibri" w:eastAsia="Calibri" w:hAnsi="Calibri"/>
          <w:color w:val="1B1F24"/>
          <w:sz w:val="21"/>
          <w:szCs w:val="21"/>
        </w:rPr>
        <w:t xml:space="preserve">n=40 for the demo, one configuration only; baselines 1 and 2 have not been run on these rows, so no cross-configuration comparison exists yet.</w:t>
      </w:r>
    </w:p>
    <w:p>
      <w:pPr>
        <w:pStyle w:val="ListParagraph"/>
        <w:numPr>
          <w:ilvl w:val="0"/>
          <w:numId w:val="2"/>
        </w:numPr>
        <w:spacing w:after="80" w:line="276"/>
      </w:pPr>
      <w:r>
        <w:rPr>
          <w:rFonts w:ascii="Calibri" w:cs="Calibri" w:eastAsia="Calibri" w:hAnsi="Calibri"/>
          <w:color w:val="1B1F24"/>
          <w:sz w:val="21"/>
          <w:szCs w:val="21"/>
        </w:rPr>
        <w:t xml:space="preserve">The wrong-and-faithful count is threshold-sensitive and small, and one of the three rows needs a ground-truth audit.</w:t>
      </w:r>
    </w:p>
    <w:p>
      <w:pPr>
        <w:pStyle w:val="ListParagraph"/>
        <w:numPr>
          <w:ilvl w:val="0"/>
          <w:numId w:val="2"/>
        </w:numPr>
        <w:spacing w:after="80" w:line="276"/>
      </w:pPr>
      <w:r>
        <w:rPr>
          <w:rFonts w:ascii="Calibri" w:cs="Calibri" w:eastAsia="Calibri" w:hAnsi="Calibri"/>
          <w:color w:val="1B1F24"/>
          <w:sz w:val="21"/>
          <w:szCs w:val="21"/>
        </w:rPr>
        <w:t xml:space="preserve">The set is class-imbalanced (31 percent high-risk), handled by per-class reporting but still a limitation.</w:t>
      </w:r>
    </w:p>
    <w:p>
      <w:pPr>
        <w:pStyle w:val="ListParagraph"/>
        <w:numPr>
          <w:ilvl w:val="0"/>
          <w:numId w:val="2"/>
        </w:numPr>
        <w:spacing w:after="80" w:line="276"/>
      </w:pPr>
      <w:r>
        <w:rPr>
          <w:rFonts w:ascii="Calibri" w:cs="Calibri" w:eastAsia="Calibri" w:hAnsi="Calibri"/>
          <w:color w:val="1B1F24"/>
          <w:sz w:val="21"/>
          <w:szCs w:val="21"/>
        </w:rPr>
        <w:t xml:space="preserve">Source asymmetry means high-risk detection is only tested in five of the eight areas.</w:t>
      </w:r>
    </w:p>
    <w:p>
      <w:pPr>
        <w:pStyle w:val="ListParagraph"/>
        <w:numPr>
          <w:ilvl w:val="0"/>
          <w:numId w:val="2"/>
        </w:numPr>
        <w:spacing w:after="80" w:line="276"/>
      </w:pPr>
      <w:r>
        <w:rPr>
          <w:rFonts w:ascii="Calibri" w:cs="Calibri" w:eastAsia="Calibri" w:hAnsi="Calibri"/>
          <w:color w:val="1B1F24"/>
          <w:sz w:val="21"/>
          <w:szCs w:val="21"/>
        </w:rPr>
        <w:t xml:space="preserve">A single annotator is planned; a second annotator for inter-annotator agreement is a bonus only if available.</w:t>
      </w:r>
    </w:p>
    <w:p>
      <w:pPr>
        <w:pStyle w:val="ListParagraph"/>
        <w:numPr>
          <w:ilvl w:val="0"/>
          <w:numId w:val="2"/>
        </w:numPr>
        <w:spacing w:after="80" w:line="276"/>
      </w:pPr>
      <w:r>
        <w:rPr>
          <w:rFonts w:ascii="Calibri" w:cs="Calibri" w:eastAsia="Calibri" w:hAnsi="Calibri"/>
          <w:color w:val="1B1F24"/>
          <w:sz w:val="21"/>
          <w:szCs w:val="21"/>
        </w:rPr>
        <w:t xml:space="preserve">Parse failures (non-JSON generator output) cost roughly 7.5 percent of demo rows; this is a generator-reliability artifact of the free model and should shrink on the frozen model.</w:t>
      </w:r>
    </w:p>
    <w:p>
      <w:pPr>
        <w:pStyle w:val="Heading1"/>
        <w:spacing w:after="140" w:before="320"/>
      </w:pPr>
      <w:r>
        <w:rPr>
          <w:rFonts w:ascii="Calibri" w:cs="Calibri" w:eastAsia="Calibri" w:hAnsi="Calibri"/>
          <w:b/>
          <w:bCs/>
          <w:color w:val="1B1F24"/>
          <w:sz w:val="30"/>
          <w:szCs w:val="30"/>
        </w:rPr>
        <w:t xml:space="preserve">9  Next steps</w:t>
      </w:r>
    </w:p>
    <w:p>
      <w:pPr>
        <w:spacing w:after="140" w:before="0" w:line="276"/>
      </w:pPr>
      <w:r>
        <w:rPr>
          <w:rFonts w:ascii="Calibri" w:cs="Calibri" w:eastAsia="Calibri" w:hAnsi="Calibri"/>
          <w:color w:val="1B1F24"/>
          <w:sz w:val="21"/>
          <w:szCs w:val="21"/>
        </w:rPr>
        <w:t xml:space="preserve">The path from this prototype to a graded result is short and known.</w:t>
      </w:r>
    </w:p>
    <w:p>
      <w:pPr>
        <w:pStyle w:val="ListParagraph"/>
        <w:numPr>
          <w:ilvl w:val="0"/>
          <w:numId w:val="2"/>
        </w:numPr>
        <w:spacing w:after="80" w:line="276"/>
      </w:pPr>
      <w:r>
        <w:rPr>
          <w:rFonts w:ascii="Calibri" w:cs="Calibri" w:eastAsia="Calibri" w:hAnsi="Calibri"/>
          <w:color w:val="1B1F24"/>
          <w:sz w:val="21"/>
          <w:szCs w:val="21"/>
        </w:rPr>
        <w:t xml:space="preserve">Fix the parse-failure rows and audit the anx3-022 gold label before any count is trusted.</w:t>
      </w:r>
    </w:p>
    <w:p>
      <w:pPr>
        <w:pStyle w:val="ListParagraph"/>
        <w:numPr>
          <w:ilvl w:val="0"/>
          <w:numId w:val="2"/>
        </w:numPr>
        <w:spacing w:after="80" w:line="276"/>
      </w:pPr>
      <w:r>
        <w:rPr>
          <w:rFonts w:ascii="Calibri" w:cs="Calibri" w:eastAsia="Calibri" w:hAnsi="Calibri"/>
          <w:color w:val="1B1F24"/>
          <w:sz w:val="21"/>
          <w:szCs w:val="21"/>
        </w:rPr>
        <w:t xml:space="preserve">Run baselines 1 and 2 on the same rows as the agent, so the three configurations are comparable.</w:t>
      </w:r>
    </w:p>
    <w:p>
      <w:pPr>
        <w:pStyle w:val="ListParagraph"/>
        <w:numPr>
          <w:ilvl w:val="0"/>
          <w:numId w:val="2"/>
        </w:numPr>
        <w:spacing w:after="80" w:line="276"/>
      </w:pPr>
      <w:r>
        <w:rPr>
          <w:rFonts w:ascii="Calibri" w:cs="Calibri" w:eastAsia="Calibri" w:hAnsi="Calibri"/>
          <w:color w:val="1B1F24"/>
          <w:sz w:val="21"/>
          <w:szCs w:val="21"/>
        </w:rPr>
        <w:t xml:space="preserve">Run the graded generation with the frozen claude-sonnet-4-6 over all 215 rows in one pass. The cheap route is the paid Batch API, roughly two dollars for the run at the 50 percent async discount; free tiers offer no batch discount and cannot be pinned for reproducibility.</w:t>
      </w:r>
    </w:p>
    <w:p>
      <w:pPr>
        <w:pStyle w:val="ListParagraph"/>
        <w:numPr>
          <w:ilvl w:val="0"/>
          <w:numId w:val="2"/>
        </w:numPr>
        <w:spacing w:after="80" w:line="276"/>
      </w:pPr>
      <w:r>
        <w:rPr>
          <w:rFonts w:ascii="Calibri" w:cs="Calibri" w:eastAsia="Calibri" w:hAnsi="Calibri"/>
          <w:color w:val="1B1F24"/>
          <w:sz w:val="21"/>
          <w:szCs w:val="21"/>
        </w:rPr>
        <w:t xml:space="preserve">Run the Qwen judge over the finished generation files on the 48GB university GPU (one session), then the correctness, faithfulness and bucket scoring, which are already built and tested offline.</w:t>
      </w:r>
    </w:p>
    <w:p>
      <w:pPr>
        <w:pStyle w:val="ListParagraph"/>
        <w:numPr>
          <w:ilvl w:val="0"/>
          <w:numId w:val="2"/>
        </w:numPr>
        <w:spacing w:after="80" w:line="276"/>
      </w:pPr>
      <w:r>
        <w:rPr>
          <w:rFonts w:ascii="Calibri" w:cs="Calibri" w:eastAsia="Calibri" w:hAnsi="Calibri"/>
          <w:color w:val="1B1F24"/>
          <w:sz w:val="21"/>
          <w:szCs w:val="21"/>
        </w:rPr>
        <w:t xml:space="preserve">Read Wallat et al. 2025 in full and add the legal-domain positioning and citation to related work.</w:t>
      </w:r>
    </w:p>
    <w:p>
      <w:pPr>
        <w:spacing w:after="140" w:before="60" w:line="276"/>
      </w:pPr>
      <w:r>
        <w:rPr>
          <w:rFonts w:ascii="Calibri" w:cs="Calibri" w:eastAsia="Calibri" w:hAnsi="Calibri"/>
          <w:color w:val="1B1F24"/>
          <w:sz w:val="21"/>
          <w:szCs w:val="21"/>
        </w:rPr>
        <w:t xml:space="preserve">The blocker for the graded run is not the pipeline, which is proven end to end, but a pinned paid generator plus one GPU session for the judge. The rest is already in place.</w:t>
      </w:r>
    </w:p>
    <w:p>
      <w:pPr>
        <w:pStyle w:val="Heading1"/>
        <w:spacing w:after="140" w:before="320"/>
      </w:pPr>
      <w:r>
        <w:rPr>
          <w:rFonts w:ascii="Calibri" w:cs="Calibri" w:eastAsia="Calibri" w:hAnsi="Calibri"/>
          <w:b/>
          <w:bCs/>
          <w:color w:val="1B1F24"/>
          <w:sz w:val="30"/>
          <w:szCs w:val="30"/>
        </w:rPr>
        <w:t xml:space="preserve">References</w:t>
      </w:r>
    </w:p>
    <w:p>
      <w:pPr>
        <w:spacing w:after="100" w:before="0" w:line="276"/>
      </w:pPr>
      <w:r>
        <w:rPr>
          <w:rFonts w:ascii="Calibri" w:cs="Calibri" w:eastAsia="Calibri" w:hAnsi="Calibri"/>
          <w:i/>
          <w:iCs/>
          <w:color w:val="5C6570"/>
          <w:sz w:val="21"/>
          <w:szCs w:val="21"/>
        </w:rPr>
        <w:t xml:space="preserve">Exact citation forms are maintained on the project Foundations page; the list below gives the sources this draft relies on.</w:t>
      </w:r>
    </w:p>
    <w:p>
      <w:pPr>
        <w:spacing w:after="80" w:line="264"/>
        <w:ind w:left="360" w:hanging="360"/>
      </w:pPr>
      <w:r>
        <w:rPr>
          <w:rFonts w:ascii="Calibri" w:cs="Calibri" w:eastAsia="Calibri" w:hAnsi="Calibri"/>
          <w:color w:val="1B1F24"/>
          <w:sz w:val="19"/>
          <w:szCs w:val="19"/>
        </w:rPr>
        <w:t xml:space="preserve">[1]  European Parliament and Council. Regulation (EU) 2024/1689 (Artificial Intelligence Act), Articles 6 and Annex III.</w:t>
      </w:r>
    </w:p>
    <w:p>
      <w:pPr>
        <w:spacing w:after="80" w:line="264"/>
        <w:ind w:left="360" w:hanging="360"/>
      </w:pPr>
      <w:r>
        <w:rPr>
          <w:rFonts w:ascii="Calibri" w:cs="Calibri" w:eastAsia="Calibri" w:hAnsi="Calibri"/>
          <w:color w:val="1B1F24"/>
          <w:sz w:val="19"/>
          <w:szCs w:val="19"/>
        </w:rPr>
        <w:t xml:space="preserve">[2]  European Commission. Draft guidelines on the classification of high-risk AI systems (Annex III and general principles), May 2026 version. Frozen ground truth for this study.</w:t>
      </w:r>
    </w:p>
    <w:p>
      <w:pPr>
        <w:spacing w:after="80" w:line="264"/>
        <w:ind w:left="360" w:hanging="360"/>
      </w:pPr>
      <w:r>
        <w:rPr>
          <w:rFonts w:ascii="Calibri" w:cs="Calibri" w:eastAsia="Calibri" w:hAnsi="Calibri"/>
          <w:color w:val="1B1F24"/>
          <w:sz w:val="19"/>
          <w:szCs w:val="19"/>
        </w:rPr>
        <w:t xml:space="preserve">[3]  Chalkidis, I. et al. LexGLUE: A Benchmark Dataset for Legal Language Understanding in English. (Read in full.)</w:t>
      </w:r>
    </w:p>
    <w:p>
      <w:pPr>
        <w:spacing w:after="80" w:line="264"/>
        <w:ind w:left="360" w:hanging="360"/>
      </w:pPr>
      <w:r>
        <w:rPr>
          <w:rFonts w:ascii="Calibri" w:cs="Calibri" w:eastAsia="Calibri" w:hAnsi="Calibri"/>
          <w:color w:val="1B1F24"/>
          <w:sz w:val="19"/>
          <w:szCs w:val="19"/>
        </w:rPr>
        <w:t xml:space="preserve">[4]  Saad-Falcon, J. et al. ARES: An Automated Evaluation Framework for Retrieval-Augmented Generation Systems. (Read in full.)</w:t>
      </w:r>
    </w:p>
    <w:p>
      <w:pPr>
        <w:spacing w:after="80" w:line="264"/>
        <w:ind w:left="360" w:hanging="360"/>
      </w:pPr>
      <w:r>
        <w:rPr>
          <w:rFonts w:ascii="Calibri" w:cs="Calibri" w:eastAsia="Calibri" w:hAnsi="Calibri"/>
          <w:color w:val="1B1F24"/>
          <w:sz w:val="19"/>
          <w:szCs w:val="19"/>
        </w:rPr>
        <w:t xml:space="preserve">[5]  RAGAS: automated evaluation metrics for retrieval-augmented generation (faithfulness metric definition).</w:t>
      </w:r>
    </w:p>
    <w:p>
      <w:pPr>
        <w:spacing w:after="80" w:line="264"/>
        <w:ind w:left="360" w:hanging="360"/>
      </w:pPr>
      <w:r>
        <w:rPr>
          <w:rFonts w:ascii="Calibri" w:cs="Calibri" w:eastAsia="Calibri" w:hAnsi="Calibri"/>
          <w:color w:val="1B1F24"/>
          <w:sz w:val="19"/>
          <w:szCs w:val="19"/>
        </w:rPr>
        <w:t xml:space="preserve">[6]  OECD and NIST AI risk materials. Used for comparative framing and realistic test descriptions only; not used as a labelling ground truth.</w:t>
      </w:r>
    </w:p>
    <w:p>
      <w:pPr>
        <w:spacing w:after="140" w:before="60" w:line="276"/>
      </w:pPr>
      <w:r>
        <w:rPr>
          <w:rFonts w:ascii="Calibri" w:cs="Calibri" w:eastAsia="Calibri" w:hAnsi="Calibri"/>
          <w:b/>
          <w:bCs/>
          <w:color w:val="C0392B"/>
          <w:sz w:val="21"/>
          <w:szCs w:val="21"/>
        </w:rPr>
        <w:t xml:space="preserve">[Draft note] </w:t>
      </w:r>
      <w:r>
        <w:rPr>
          <w:rFonts w:ascii="Calibri" w:cs="Calibri" w:eastAsia="Calibri" w:hAnsi="Calibri"/>
          <w:i/>
          <w:iCs/>
          <w:color w:val="5C6570"/>
          <w:sz w:val="21"/>
          <w:szCs w:val="21"/>
        </w:rPr>
        <w:t xml:space="preserve">Wallat et al. 2025 to be added once read in full. Do not cite until then.</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570"/>
        <w:sz w:val="16"/>
        <w:szCs w:val="16"/>
      </w:rPr>
      <w:t xml:space="preserve">Case Study 2 prototype draft  ·  </w:t>
    </w:r>
    <w:r>
      <w:rPr>
        <w:rFonts w:ascii="Calibri" w:cs="Calibri" w:eastAsia="Calibri" w:hAnsi="Calibri"/>
        <w:color w:val="5C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2 — Prototype Report</dc:title>
  <dc:creator>Rahul Rawat</dc:creator>
  <dc:description>EU AI Act high-risk classification: evaluating faithful-but-wrong</dc:description>
  <cp:lastModifiedBy>Un-named</cp:lastModifiedBy>
  <cp:revision>1</cp:revision>
  <dcterms:created xsi:type="dcterms:W3CDTF">2026-09-18T00:39:52.897Z</dcterms:created>
  <dcterms:modified xsi:type="dcterms:W3CDTF">2026-09-18T00:39:52.897Z</dcterms:modified>
</cp:coreProperties>
</file>

<file path=docProps/custom.xml><?xml version="1.0" encoding="utf-8"?>
<Properties xmlns="http://schemas.openxmlformats.org/officeDocument/2006/custom-properties" xmlns:vt="http://schemas.openxmlformats.org/officeDocument/2006/docPropsVTypes"/>
</file>