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16. August 2026</w:t>
      </w:r>
    </w:p>
    <w:p>
      <w:r>
        <w:rPr>
          <w:b/>
          <w:color w:val="1F3A5F"/>
          <w:sz w:val="23"/>
        </w:rPr>
        <w:t>Deloitte</w:t>
      </w:r>
    </w:p>
    <w:p>
      <w:r>
        <w:rPr>
          <w:color w:val="1F2937"/>
          <w:sz w:val="21"/>
        </w:rPr>
        <w:t>Personalabteilung</w:t>
      </w:r>
    </w:p>
    <w:p>
      <w:r>
        <w:rPr>
          <w:b/>
          <w:color w:val="1F3A5F"/>
          <w:sz w:val="22"/>
        </w:rPr>
        <w:t>Bewerbung: Werkstudent oder Praktikant Digital und AI Analytics</w:t>
      </w:r>
    </w:p>
    <w:p>
      <w:r>
        <w:rPr>
          <w:color w:val="1F2937"/>
          <w:sz w:val="21"/>
        </w:rPr>
        <w:t>Sehr geehrte Damen und Herren,</w:t>
      </w:r>
    </w:p>
    <w:p>
      <w:pPr>
        <w:spacing w:line="324" w:lineRule="auto"/>
        <w:jc w:val="both"/>
      </w:pPr>
      <w:r>
        <w:rPr>
          <w:color w:val="1F2937"/>
          <w:sz w:val="21"/>
        </w:rPr>
        <w:t>hiermit bewerbe ich mich fuer die Werkstudenten oder Praktikanten Position im Bereich Digital und AI Analytics bei Deloitte. Die Kombination aus Datenanalyse, KI gestuetzten Werkzeugen und der Beratungsnahen Uebersetzung von Modellergebnissen in umsetzbare Entscheidungen entspricht genau dem, was ich in den letzten Monaten praktisch gebaut habe.</w:t>
      </w:r>
    </w:p>
    <w:p>
      <w:pPr>
        <w:spacing w:line="324" w:lineRule="auto"/>
        <w:jc w:val="both"/>
      </w:pPr>
      <w:r>
        <w:rPr>
          <w:color w:val="1F2937"/>
          <w:sz w:val="21"/>
        </w:rPr>
        <w:t>In CreditIQ habe ich unter EU AI Act und AGG 80 Prozent Fairness Grenze ein Kredit Scoring System entwickelt, den Disparate Impact von 0,79 auf 0,88 gehoben und mit SHAP getriebener Subgruppenanalyse eine intersektionelle Verzerrung ueber Alter und Geschlecht aufgedeckt und ueber ein vierstufiges Threshold Raster korrigiert. Die False Negative Rate ist von 44 Prozent auf 16,7 Prozent bei stabiler Accuracy von 75 Prozent gefallen, und das System laeuft als Streamlit Decision Support Tool mit einer plain language LLM generierten Erklaerung, gestuetzt durch Unit Tests bei 100 Prozent Branch Coverage und einer vollstaendigen regulatorischen Dokumentation zu GDPR Artikel 22 und EU AI Act Artikel 14. Genau diese regulatorik nahe Herangehensweise passt zu Deloitte Beratungsprojekten in Financial Services und Risk Analytics.</w:t>
      </w:r>
    </w:p>
    <w:p>
      <w:pPr>
        <w:spacing w:line="324" w:lineRule="auto"/>
        <w:jc w:val="both"/>
      </w:pPr>
      <w:r>
        <w:rPr>
          <w:color w:val="1F2937"/>
          <w:sz w:val="21"/>
        </w:rPr>
        <w:t>In einem interaktiven Fast Food Nutritional Tableau Dashboard habe ich mit Set Actions eine dynamische Warenkorb Simulation aufgebaut, in der Endnutzer Punkte im Scatter Plot auswaehlen und die 3 zentralen Makros Kalorien, Fett und Protein fuer eine simulierte Mahlzeit direkt aggregieren. Mit parameter gesteuerten Analysen habe ich eine dynamische Y Achse implementiert, die per CASE Anweisung an ein benutzergesteuertes Ziel Parameter gebunden ist, so dass sich Muskelaufbau und Gewichtsverlust ohne Dashboard Reload umschalten lassen. Ein Is It A Trap Flag markiert taeuschende Trap Items automatisch. Bei eRay GmbH habe ich zusaetzlich eine end to end rekursive Zeitreihen Pipeline fuer 4 Wasserqualitaets Indikatoren mit CatBoost Multi Quantil Regression und asymmetrischen 80 Prozent Vorhersageintervallen geliefert.</w:t>
      </w:r>
    </w:p>
    <w:p>
      <w:pPr>
        <w:spacing w:line="324" w:lineRule="auto"/>
        <w:jc w:val="both"/>
      </w:pPr>
      <w:r>
        <w:rPr>
          <w:color w:val="1F2937"/>
          <w:sz w:val="21"/>
        </w:rPr>
        <w:t>Ich arbeite sicher in Python, SQL, scikit-learn, LangGraph, Tableau, Power BI und Looker Studio. Ich habe die SAS Visual Business Analytics, NVIDIA Building LLM Applications With Prompt Engineering und Google Data Analytics Zertifikate abgelegt und wurde als Finalist des USAII Global AI Hackathon 2026 auf Graduate Level ausgezeichnet. Mein Deutschniveau ist B1 in Bearbeitung, Englisch spreche ich fliessend. Ich kann als Werkstudent mit 15 bis 20 Stunden pro Woche oder als Praktikant in einem Pflichtpraktikum einsteigen und stehe fuer die Standorte Frankfurt am Main oder Stuttgart zur Verfuegung. Gerne bespreche ich meinen Beitrag zum Digital und AI Analytics Team von Deloitte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