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AI Engineer Agentic Systems</w:t>
      </w:r>
    </w:p>
    <w:p>
      <w:pPr>
        <w:keepNext/>
        <w:spacing w:before="20" w:after="0"/>
        <w:pBdr>
          <w:bottom w:val="single" w:sz="6" w:space="1" w:color="B7C0CE"/>
        </w:pBdr>
      </w:pPr>
      <w:r>
        <w:rPr>
          <w:b/>
          <w:color w:val="1F3A5F"/>
          <w:sz w:val="21"/>
        </w:rPr>
        <w:t>P E R S O N A L   D E T A I L S</w:t>
      </w:r>
    </w:p>
    <w:p>
      <w:pPr>
        <w:spacing w:before="0" w:after="0" w:line="276" w:lineRule="auto"/>
      </w:pPr>
      <w:r>
        <w:rPr>
          <w:b/>
          <w:color w:val="1F3A5F"/>
          <w:sz w:val="21"/>
        </w:rPr>
        <w:t xml:space="preserve">Address: </w:t>
      </w:r>
      <w:r>
        <w:rPr>
          <w:color w:val="1F2937"/>
          <w:sz w:val="21"/>
        </w:rPr>
        <w:t>C2 16, 68159 Mannheim, Germany</w:t>
      </w:r>
    </w:p>
    <w:p>
      <w:pPr>
        <w:spacing w:before="0" w:after="0" w:line="276" w:lineRule="auto"/>
      </w:pPr>
      <w:r>
        <w:rPr>
          <w:b/>
          <w:color w:val="1F3A5F"/>
          <w:sz w:val="21"/>
        </w:rPr>
        <w:t xml:space="preserve">Phone: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Date of birth: </w:t>
      </w:r>
      <w:r>
        <w:rPr>
          <w:color w:val="1F2937"/>
          <w:sz w:val="21"/>
        </w:rPr>
        <w:t>20 February 2002</w:t>
      </w:r>
    </w:p>
    <w:p>
      <w:pPr>
        <w:spacing w:before="0" w:after="0" w:line="276" w:lineRule="auto"/>
      </w:pPr>
      <w:r>
        <w:rPr>
          <w:b/>
          <w:color w:val="1F3A5F"/>
          <w:sz w:val="21"/>
        </w:rPr>
        <w:t xml:space="preserve">Nationality: </w:t>
      </w:r>
      <w:r>
        <w:rPr>
          <w:color w:val="1F2937"/>
          <w:sz w:val="21"/>
        </w:rPr>
        <w:t>Indian, student visa with valid work permit</w:t>
      </w:r>
    </w:p>
    <w:p>
      <w:pPr>
        <w:spacing w:before="0" w:after="0" w:line="276" w:lineRule="auto"/>
      </w:pPr>
      <w:r>
        <w:rPr>
          <w:b/>
          <w:color w:val="1F3A5F"/>
          <w:sz w:val="21"/>
        </w:rPr>
        <w:t xml:space="preserve">Availability: </w:t>
      </w:r>
      <w:r>
        <w:rPr>
          <w:color w:val="1F2937"/>
          <w:sz w:val="21"/>
        </w:rPr>
        <w:t>Werkstudent 20 hours per week immediately, full time from April 2027</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Master's student in Data Science and Analytics at SRH University of Applied Sciences Heidelberg with production experience building multi agent AI systems, RAG pipelines, and data science infrastructure. At eRay GmbH I designed and shipped an end to end recursive forecasting pipeline covering four environmental indicators. Personal projects include a fully local multi agent RAG system with an LLM as Judge evaluation harness and a fairness by design credit scoring tool audited against EU AI Act requirements. Comfortable in Python, LangGraph, Ollama, Pinecone, scikit-learn, CatBoost, GCP and AWS.</w:t>
      </w:r>
    </w:p>
    <w:p>
      <w:pPr>
        <w:keepNext/>
        <w:spacing w:before="20" w:after="0"/>
        <w:pBdr>
          <w:bottom w:val="single" w:sz="6" w:space="1" w:color="B7C0CE"/>
        </w:pBdr>
      </w:pPr>
      <w:r>
        <w:rPr>
          <w:b/>
          <w:color w:val="1F3A5F"/>
          <w:sz w:val="21"/>
        </w:rPr>
        <w:t>S K I L L S</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0" w:after="0" w:line="276" w:lineRule="auto"/>
        <w:ind w:left="283" w:hanging="170"/>
        <w:jc w:val="both"/>
      </w:pPr>
      <w:r>
        <w:rPr>
          <w:b/>
          <w:color w:val="B8663F"/>
          <w:sz w:val="21"/>
        </w:rPr>
        <w:t xml:space="preserve">• </w:t>
      </w:r>
      <w:r>
        <w:rPr>
          <w:b w:val="0"/>
          <w:color w:val="1F2937"/>
          <w:sz w:val="21"/>
        </w:rPr>
        <w:t xml:space="preserve">Reconstructed Oct and Nov gaps with IterativeImputer MICE, ran full Memory Buffer recalculation across all 6 lag features, generated a synthetic winter canvas with 4 degree Celsius floor and </w:t>
      </w:r>
      <w:r>
        <w:rPr>
          <w:b/>
          <w:color w:val="1F3A5F"/>
          <w:sz w:val="21"/>
        </w:rPr>
        <w:t>0.4</w:t>
      </w:r>
      <w:r>
        <w:rPr>
          <w:b w:val="0"/>
          <w:color w:val="1F2937"/>
          <w:sz w:val="21"/>
        </w:rPr>
        <w:t xml:space="preserve"> degree diurnal amplitude, then wrapped it all in an orchestrator with gate checks, ecological clips dissolved oxygen </w:t>
      </w:r>
      <w:r>
        <w:rPr>
          <w:b/>
          <w:color w:val="1F3A5F"/>
          <w:sz w:val="21"/>
        </w:rPr>
        <w:t>4.0 to 18.0</w:t>
      </w:r>
      <w:r>
        <w:rPr>
          <w:b w:val="0"/>
          <w:color w:val="1F2937"/>
          <w:sz w:val="21"/>
        </w:rPr>
        <w:t xml:space="preserve"> and pH </w:t>
      </w:r>
      <w:r>
        <w:rPr>
          <w:b/>
          <w:color w:val="1F3A5F"/>
          <w:sz w:val="21"/>
        </w:rPr>
        <w:t>6.0 to 9.0</w:t>
      </w:r>
      <w:r>
        <w:rPr>
          <w:b w:val="0"/>
          <w:color w:val="1F2937"/>
          <w:sz w:val="21"/>
        </w:rPr>
        <w:t xml:space="preserve"> and a </w:t>
      </w:r>
      <w:r>
        <w:rPr>
          <w:b/>
          <w:color w:val="1F3A5F"/>
          <w:sz w:val="21"/>
        </w:rPr>
        <w:t>0.003</w:t>
      </w:r>
      <w:r>
        <w:rPr>
          <w:b w:val="0"/>
          <w:color w:val="1F2937"/>
          <w:sz w:val="21"/>
        </w:rPr>
        <w:t xml:space="preserve"> pH per hour velocity clamp.</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0" w:after="0" w:line="276" w:lineRule="auto"/>
        <w:ind w:left="283" w:hanging="170"/>
        <w:jc w:val="both"/>
      </w:pPr>
      <w:r>
        <w:rPr>
          <w:b/>
          <w:color w:val="B8663F"/>
          <w:sz w:val="21"/>
        </w:rPr>
        <w:t xml:space="preserve">• </w:t>
      </w:r>
      <w:r>
        <w:rPr>
          <w:b w:val="0"/>
          <w:color w:val="1F2937"/>
          <w:sz w:val="21"/>
        </w:rPr>
        <w:t xml:space="preserve">With a client relying on a legacy AngularJS app that had to sit inside an existing module federation setup alongside newer React micro frontends, tasked with porting the client's screens across without breaking the running product, ported around </w:t>
      </w:r>
      <w:r>
        <w:rPr>
          <w:b/>
          <w:color w:val="1F3A5F"/>
          <w:sz w:val="21"/>
        </w:rPr>
        <w:t>8 routes</w:t>
      </w:r>
      <w:r>
        <w:rPr>
          <w:b w:val="0"/>
          <w:color w:val="1F2937"/>
          <w:sz w:val="21"/>
        </w:rPr>
        <w:t xml:space="preserve"> from AngularJS to React inside the module federation shell over </w:t>
      </w:r>
      <w:r>
        <w:rPr>
          <w:b/>
          <w:color w:val="1F3A5F"/>
          <w:sz w:val="21"/>
        </w:rPr>
        <w:t>4 months</w:t>
      </w:r>
      <w:r>
        <w:rPr>
          <w:b w:val="0"/>
          <w:color w:val="1F2937"/>
          <w:sz w:val="21"/>
        </w:rPr>
        <w:t xml:space="preserve"> of incremental releases, shipped with no production incidents during rollout.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Multi-Agent RAG with LLM-as-Judge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0" w:after="0" w:line="276" w:lineRule="auto"/>
        <w:ind w:left="283" w:hanging="170"/>
        <w:jc w:val="both"/>
      </w:pPr>
      <w:r>
        <w:rPr>
          <w:b/>
          <w:color w:val="B8663F"/>
          <w:sz w:val="21"/>
        </w:rPr>
        <w:t xml:space="preserve">• </w:t>
      </w:r>
      <w:r>
        <w:rPr>
          <w:b w:val="0"/>
          <w:color w:val="1F2937"/>
          <w:sz w:val="21"/>
        </w:rPr>
        <w:t xml:space="preserve">To measure answer quality without hand grading, implemented an LLM as Judge JudgeAgent scoring answers </w:t>
      </w:r>
      <w:r>
        <w:rPr>
          <w:b/>
          <w:color w:val="1F3A5F"/>
          <w:sz w:val="21"/>
        </w:rPr>
        <w:t>1 to 5</w:t>
      </w:r>
      <w:r>
        <w:rPr>
          <w:b w:val="0"/>
          <w:color w:val="1F2937"/>
          <w:sz w:val="21"/>
        </w:rPr>
        <w:t xml:space="preserve"> on </w:t>
      </w:r>
      <w:r>
        <w:rPr>
          <w:b/>
          <w:color w:val="1F3A5F"/>
          <w:sz w:val="21"/>
        </w:rPr>
        <w:t>5 dimensions</w:t>
      </w:r>
      <w:r>
        <w:rPr>
          <w:b w:val="0"/>
          <w:color w:val="1F2937"/>
          <w:sz w:val="21"/>
        </w:rPr>
        <w:t xml:space="preserve"> (groundedness, relevance, completeness, citation quality, language quality) in JSON mode at temperature 0, and eliminated self preference bias by running the judge on a different local model Qwen</w:t>
      </w:r>
      <w:r>
        <w:rPr>
          <w:b/>
          <w:color w:val="1F3A5F"/>
          <w:sz w:val="21"/>
        </w:rPr>
        <w:t>2.5</w:t>
      </w:r>
      <w:r>
        <w:rPr>
          <w:b w:val="0"/>
          <w:color w:val="1F2937"/>
          <w:sz w:val="21"/>
        </w:rPr>
        <w:t xml:space="preserve"> </w:t>
      </w:r>
      <w:r>
        <w:rPr>
          <w:b/>
          <w:color w:val="1F3A5F"/>
          <w:sz w:val="21"/>
        </w:rPr>
        <w:t>14B</w:t>
      </w:r>
      <w:r>
        <w:rPr>
          <w:b w:val="0"/>
          <w:color w:val="1F2937"/>
          <w:sz w:val="21"/>
        </w:rPr>
        <w:t xml:space="preserve"> from the generator Mistral </w:t>
      </w:r>
      <w:r>
        <w:rPr>
          <w:b/>
          <w:color w:val="1F3A5F"/>
          <w:sz w:val="21"/>
        </w:rPr>
        <w:t>7B</w:t>
      </w:r>
      <w:r>
        <w:rPr>
          <w:b w:val="0"/>
          <w:color w:val="1F2937"/>
          <w:sz w:val="21"/>
        </w:rPr>
        <w:t xml:space="preserve"> with a self_judged flag propagated into every report and a hard failure on missing judge model so a silent fallback to self judging cannot regress unnoticed.</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40" w:after="0" w:line="276" w:lineRule="auto"/>
      </w:pPr>
      <w:r>
        <w:rPr>
          <w:b/>
          <w:color w:val="1F3A5F"/>
          <w:sz w:val="22"/>
        </w:rPr>
        <w:t>CreditIQ: Fairness by Design Credit Scoring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SRH Heidelberg project on regulated credit scoring where a baseline model was failing the EU AI Act and AGG </w:t>
      </w:r>
      <w:r>
        <w:rPr>
          <w:b/>
          <w:color w:val="1F3A5F"/>
          <w:sz w:val="21"/>
        </w:rPr>
        <w:t>80 percent</w:t>
      </w:r>
      <w:r>
        <w:rPr>
          <w:b w:val="0"/>
          <w:color w:val="1F2937"/>
          <w:sz w:val="21"/>
        </w:rPr>
        <w:t xml:space="preserve"> fairness bar, tasked with getting it back into compliance without gutting predictive quality, applied AIF360 mitigation and threshold calibration on a real credit dataset, which raised the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w:t>
      </w:r>
    </w:p>
    <w:p>
      <w:pPr>
        <w:spacing w:before="0" w:after="0" w:line="276" w:lineRule="auto"/>
        <w:ind w:left="283" w:hanging="170"/>
        <w:jc w:val="both"/>
      </w:pPr>
      <w:r>
        <w:rPr>
          <w:b/>
          <w:color w:val="B8663F"/>
          <w:sz w:val="21"/>
        </w:rPr>
        <w:t xml:space="preserve">• </w:t>
      </w:r>
      <w:r>
        <w:rPr>
          <w:b w:val="0"/>
          <w:color w:val="1F2937"/>
          <w:sz w:val="21"/>
        </w:rPr>
        <w:t>After single axis age bias was fixed but younger women were still being penalised, tasked with finding and correcting the hidden intersectional bias, used SHAP driven subgroup analysis to expose the pattern and designed a four way age by gender threshold matrix, which corrected it without over correcting into reverse discrimination.</w:t>
      </w:r>
    </w:p>
    <w:p>
      <w:pPr>
        <w:spacing w:before="0" w:after="0" w:line="276" w:lineRule="auto"/>
        <w:ind w:left="283" w:hanging="170"/>
        <w:jc w:val="both"/>
      </w:pPr>
      <w:r>
        <w:rPr>
          <w:b/>
          <w:color w:val="B8663F"/>
          <w:sz w:val="21"/>
        </w:rPr>
        <w:t xml:space="preserve">• </w:t>
      </w:r>
      <w:r>
        <w:rPr>
          <w:b w:val="0"/>
          <w:color w:val="1F2937"/>
          <w:sz w:val="21"/>
        </w:rPr>
        <w:t xml:space="preserve">With a large false negative rate silently rejecting good applicants, tasked with cutting it while keeping overall accuracy defensible, documented the fairness accuracy trade off as a deliberate and regulator defensible decision, which brought the false negative rate down from </w:t>
      </w:r>
      <w:r>
        <w:rPr>
          <w:b/>
          <w:color w:val="1F3A5F"/>
          <w:sz w:val="21"/>
        </w:rPr>
        <w:t>44 percent to 16.7 percent</w:t>
      </w:r>
      <w:r>
        <w:rPr>
          <w:b w:val="0"/>
          <w:color w:val="1F2937"/>
          <w:sz w:val="21"/>
        </w:rPr>
        <w:t xml:space="preserve"> while accuracy held at </w:t>
      </w:r>
      <w:r>
        <w:rPr>
          <w:b/>
          <w:color w:val="1F3A5F"/>
          <w:sz w:val="21"/>
        </w:rPr>
        <w:t>75 percent</w:t>
      </w:r>
      <w:r>
        <w:rPr>
          <w:b w:val="0"/>
          <w:color w:val="1F2937"/>
          <w:sz w:val="21"/>
        </w:rPr>
        <w:t xml:space="preserve"> on the held out test split.</w:t>
      </w:r>
    </w:p>
    <w:p>
      <w:pPr>
        <w:spacing w:before="20" w:after="0"/>
      </w:pPr>
      <w:r>
        <w:rPr>
          <w:b/>
          <w:color w:val="B8663F"/>
          <w:sz w:val="19"/>
        </w:rPr>
        <w:t xml:space="preserve">Technologies: </w:t>
      </w:r>
      <w:r>
        <w:rPr>
          <w:i/>
          <w:color w:val="6C7A93"/>
          <w:sz w:val="19"/>
        </w:rPr>
        <w:t>Python, scikit learn, AIF360, SHAP, Streamlit</w:t>
      </w:r>
    </w:p>
    <w:p>
      <w:pPr>
        <w:keepNext/>
        <w:spacing w:before="20" w:after="0"/>
        <w:pBdr>
          <w:bottom w:val="single" w:sz="6" w:space="1" w:color="B7C0CE"/>
        </w:pBdr>
      </w:pPr>
      <w:r>
        <w:rPr>
          <w:b/>
          <w:color w:val="1F3A5F"/>
          <w:sz w:val="21"/>
        </w:rPr>
        <w:t>R E S E A R C H   A N D   T H E S I S</w:t>
      </w:r>
    </w:p>
    <w:p>
      <w:pPr>
        <w:keepNext/>
        <w:spacing w:before="40" w:after="0" w:line="276" w:lineRule="auto"/>
      </w:pPr>
      <w:r>
        <w:rPr>
          <w:b/>
          <w:color w:val="1F3A5F"/>
          <w:sz w:val="22"/>
        </w:rPr>
        <w:t>Bachelor Thesis, Diabetes Prediction Using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For a Bachelor thesis on diabetes prediction with a small clinical dataset of </w:t>
      </w:r>
      <w:r>
        <w:rPr>
          <w:b/>
          <w:color w:val="1F3A5F"/>
          <w:sz w:val="21"/>
        </w:rPr>
        <w:t>768 patients</w:t>
      </w:r>
      <w:r>
        <w:rPr>
          <w:b w:val="0"/>
          <w:color w:val="1F2937"/>
          <w:sz w:val="21"/>
        </w:rPr>
        <w:t xml:space="preserve">, tasked with building a defensible model comparison the examiners could audit, built a full end to end machine learning pipeline comparing six classifiers with </w:t>
      </w:r>
      <w:r>
        <w:rPr>
          <w:b/>
          <w:color w:val="1F3A5F"/>
          <w:sz w:val="21"/>
        </w:rPr>
        <w:t>10 fold</w:t>
      </w:r>
      <w:r>
        <w:rPr>
          <w:b w:val="0"/>
          <w:color w:val="1F2937"/>
          <w:sz w:val="21"/>
        </w:rPr>
        <w:t xml:space="preserve"> cross validation and per model confusion matrices, delivering a model comparison that stood up in the thesis defence.</w:t>
      </w:r>
    </w:p>
    <w:p>
      <w:pPr>
        <w:spacing w:before="0" w:after="0" w:line="276" w:lineRule="auto"/>
        <w:ind w:left="283" w:hanging="170"/>
        <w:jc w:val="both"/>
      </w:pPr>
      <w:r>
        <w:rPr>
          <w:b/>
          <w:color w:val="B8663F"/>
          <w:sz w:val="21"/>
        </w:rPr>
        <w:t xml:space="preserve">• </w:t>
      </w:r>
      <w:r>
        <w:rPr>
          <w:b w:val="0"/>
          <w:color w:val="1F2937"/>
          <w:sz w:val="21"/>
        </w:rPr>
        <w:t>Spotting biologically impossible zero values in the source data that the original authors had overlooked, tasked with restoring data integrity before any model fit, applied IQR based outlier removal and proper imputation, which lifted the dataset from silently broken to a clean training input for every downstream model.</w:t>
      </w:r>
    </w:p>
    <w:p>
      <w:pPr>
        <w:spacing w:before="0" w:after="0" w:line="276" w:lineRule="auto"/>
        <w:ind w:left="283" w:hanging="170"/>
        <w:jc w:val="both"/>
      </w:pPr>
      <w:r>
        <w:rPr>
          <w:b/>
          <w:color w:val="B8663F"/>
          <w:sz w:val="21"/>
        </w:rPr>
        <w:t xml:space="preserve">• </w:t>
      </w:r>
      <w:r>
        <w:rPr>
          <w:b w:val="0"/>
          <w:color w:val="1F2937"/>
          <w:sz w:val="21"/>
        </w:rPr>
        <w:t xml:space="preserve">With a </w:t>
      </w:r>
      <w:r>
        <w:rPr>
          <w:b/>
          <w:color w:val="1F3A5F"/>
          <w:sz w:val="21"/>
        </w:rPr>
        <w:t>65 to 35 class</w:t>
      </w:r>
      <w:r>
        <w:rPr>
          <w:b w:val="0"/>
          <w:color w:val="1F2937"/>
          <w:sz w:val="21"/>
        </w:rPr>
        <w:t xml:space="preserve"> imbalance that made accuracy a misleading headline metric, tasked with choosing an evaluation that would not hide errors on the minority class, moved the headline metric from accuracy to ROC AUC, which exposed the real error patterns the accuracy score had been masking and gave the thesis an honest performance comparison.</w:t>
      </w:r>
    </w:p>
    <w:p>
      <w:pPr>
        <w:spacing w:before="0" w:after="0" w:line="276" w:lineRule="auto"/>
        <w:ind w:left="283" w:hanging="170"/>
        <w:jc w:val="both"/>
      </w:pPr>
      <w:r>
        <w:rPr>
          <w:b/>
          <w:color w:val="B8663F"/>
          <w:sz w:val="21"/>
        </w:rPr>
        <w:t xml:space="preserve">• </w:t>
      </w:r>
      <w:r>
        <w:rPr>
          <w:b w:val="0"/>
          <w:color w:val="1F2937"/>
          <w:sz w:val="21"/>
        </w:rPr>
        <w:t>With the results needing to be publishable in substance rather than just submissible, tasked with writing them up formally, produced an IEEE style paper including an honest limitations section and what to do differently in a follow up study, which the supervisor accepted as publishable in substance.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 toward B2</w:t>
      </w:r>
    </w:p>
    <w:p>
      <w:pPr>
        <w:spacing w:before="0" w:after="0" w:line="276" w:lineRule="auto"/>
      </w:pPr>
      <w:r>
        <w:rPr>
          <w:b/>
          <w:color w:val="1F3A5F"/>
          <w:sz w:val="21"/>
        </w:rPr>
        <w:t xml:space="preserve">Hindi: </w:t>
      </w:r>
      <w:r>
        <w:rPr>
          <w:color w:val="1F2937"/>
          <w:sz w:val="21"/>
        </w:rPr>
        <w:t>Native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