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RAG und Fairness by Design | Python + LangGraph + Streamlit</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im Aufbau realer AI Anwendungen mit strategischer Wirkung. Ich habe ein Multi Agent RAG System mit LLM as Judge Evaluation lokal auf Ollama mit Mistral </w:t>
      </w:r>
      <w:r>
        <w:rPr>
          <w:b/>
          <w:color w:val="1F3A5F"/>
          <w:sz w:val="21"/>
        </w:rPr>
        <w:t>7B</w:t>
      </w:r>
      <w:r>
        <w:rPr>
          <w:b w:val="0"/>
          <w:color w:val="1F2937"/>
          <w:sz w:val="21"/>
        </w:rPr>
        <w:t xml:space="preserve"> und Qwen</w:t>
      </w:r>
      <w:r>
        <w:rPr>
          <w:b/>
          <w:color w:val="1F3A5F"/>
          <w:sz w:val="21"/>
        </w:rPr>
        <w:t>2.5</w:t>
      </w:r>
      <w:r>
        <w:rPr>
          <w:b w:val="0"/>
          <w:color w:val="1F2937"/>
          <w:sz w:val="21"/>
        </w:rPr>
        <w:t xml:space="preserve"> </w:t>
      </w:r>
      <w:r>
        <w:rPr>
          <w:b/>
          <w:color w:val="1F3A5F"/>
          <w:sz w:val="21"/>
        </w:rPr>
        <w:t>14B</w:t>
      </w:r>
      <w:r>
        <w:rPr>
          <w:b w:val="0"/>
          <w:color w:val="1F2937"/>
          <w:sz w:val="21"/>
        </w:rPr>
        <w:t xml:space="preserve"> mit voller EN und DE Unterstuetzung gebaut, in CreditIQ ein Kredit Scoring System unter EU AI Act Bedingungen mit einem verbesserten Disparate Impact von </w:t>
      </w:r>
      <w:r>
        <w:rPr>
          <w:b/>
          <w:color w:val="1F3A5F"/>
          <w:sz w:val="21"/>
        </w:rPr>
        <w:t>0,79 auf 0,88</w:t>
      </w:r>
      <w:r>
        <w:rPr>
          <w:b w:val="0"/>
          <w:color w:val="1F2937"/>
          <w:sz w:val="21"/>
        </w:rPr>
        <w:t xml:space="preserve"> entwickelt und bei eRay GmbH eine rekursive Zeitreihen Pipeline fuer 4 Umwelt Indikatoren geliefert. Sicher in Python, SQL, LangGraph, Streamlit und der Uebersetzung von Modellergebnissen in Business Entscheidungen.</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