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Ardex GmbH</w:t>
      </w:r>
    </w:p>
    <w:p>
      <w:r>
        <w:rPr>
          <w:color w:val="1F2937"/>
          <w:sz w:val="21"/>
        </w:rPr>
        <w:t>Personalabteilung</w:t>
      </w:r>
    </w:p>
    <w:p>
      <w:r>
        <w:rPr>
          <w:b/>
          <w:color w:val="1F3A5F"/>
          <w:sz w:val="22"/>
        </w:rPr>
        <w:t>Bewerbung: Werkstudent AI and Innovation am Hauptsitz Witten</w:t>
      </w:r>
    </w:p>
    <w:p>
      <w:r>
        <w:rPr>
          <w:color w:val="1F2937"/>
          <w:sz w:val="21"/>
        </w:rPr>
        <w:t>Sehr geehrte Damen und Herren,</w:t>
      </w:r>
    </w:p>
    <w:p>
      <w:pPr>
        <w:spacing w:line="324" w:lineRule="auto"/>
        <w:jc w:val="both"/>
      </w:pPr>
      <w:r>
        <w:rPr>
          <w:color w:val="1F2937"/>
          <w:sz w:val="21"/>
        </w:rPr>
        <w:t>hiermit bewerbe ich mich fuer die Werkstudententaetigkeit AI and Innovation am Hauptsitz Witten. Als Masterstudent der Data Science and Analytics an der SRH Heidelberg mit Sitz in Mannheim reizt mich der Anspruch der Ausschreibung, ueber klassische Werkstudententaetigkeiten hinaus in strategisch relevanten AI und Innovationsprojekten mit globaler Reichweite mitzugestalten, weil ich in den letzten Monaten genau die Art von AI Projekten geliefert habe, deren Ergebnisse eine Fachabteilung tatsaechlich zu einer Entscheidung fuehren.</w:t>
      </w:r>
    </w:p>
    <w:p>
      <w:pPr>
        <w:spacing w:line="324" w:lineRule="auto"/>
        <w:jc w:val="both"/>
      </w:pPr>
      <w:r>
        <w:rPr>
          <w:color w:val="1F2937"/>
          <w:sz w:val="21"/>
        </w:rPr>
        <w:t>In meinem Multi Agent RAG Projekt habe ich ein LangGraph orchestriertes Agentensystem gebaut, das Nutzerfragen ueber eine hybride BM25 plus Dense Retrieval Pipeline in Englisch und Deutsch end to end beantwortet. Der LanguageAgent zentralisiert Sprache und Ausgabesteuerung,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Dieses Muster laesst sich direkt auf strategische AI Piloten mit globaler Reichweite anwenden, in denen ehrliche KPI Messung ueber Marketing Fiktion gewinnen muss.</w:t>
      </w:r>
    </w:p>
    <w:p>
      <w:pPr>
        <w:spacing w:line="324" w:lineRule="auto"/>
        <w:jc w:val="both"/>
      </w:pPr>
      <w:r>
        <w:rPr>
          <w:color w:val="1F2937"/>
          <w:sz w:val="21"/>
        </w:rPr>
        <w:t>In CreditIQ habe ich unter EU AI Act und AGG 80 Prozent Fairness Grenze ein Kredit Scoring System entwickelt, den Disparate Impact von 0,79 auf 0,88 gehoben, mit SHAP getriebener Subgruppenanalyse eine intersektionelle Verzerrung ueber Alter und Geschlecht aufgedeckt und ueber ein vierstufiges Threshold Raster korrigiert. Die False Negative Rate ist von 44 Prozent auf 16,7 Prozent gefallen bei einer stabilen Accuracy von 75 Prozent, und das Modell laeuft als Streamlit Decision Support Tool mit einer plain language LLM generierten Erklaerung. Bei eRay GmbH habe ich eine rekursive Zeitreihen Pipeline fuer 4 Wasserqualitaets Indikatoren mit CatBoost MultiQuantile und asymmetrischen 80 Prozent Vorhersageintervallen geliefert und die Evaluation mit einem 3 Pass Outlier System belastbar gemacht. Genau diese Kombination aus Modell, Governance und Business Verankerung suche ich in AI und Innovation Rollen.</w:t>
      </w:r>
    </w:p>
    <w:p>
      <w:pPr>
        <w:spacing w:line="324" w:lineRule="auto"/>
        <w:jc w:val="both"/>
      </w:pPr>
      <w:r>
        <w:rPr>
          <w:color w:val="1F2937"/>
          <w:sz w:val="21"/>
        </w:rPr>
        <w:t>Ich arbeite sicher in Python, SQL, scikit-learn, LangGraph, Streamlit und den ueblichen Cloud Plattformen AWS und GCP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mit internationalen Stakeholdern und dem Management vollstaendig auf Deutsch moeglich bleibt. Als Werkstudent kann ich in Witten im Rahmen des Werkstudentenmodells einsteigen. Gerne bespreche ich meinen Beitrag zum AI and Innovation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