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RAG und Semantische Suche | Python + LangGraph + Pinecone</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Wissensdatenbanken auf Basis von Text Embeddings und semantischer Suche. Ich habe ein Multi Agent RAG System gebaut, das Embeddings und Retrieval in einen geteilten mehrsprachigen Vektorraum mit Pinecone migriert und eine hybride BM25 plus Dense Retrieval Pipeline ueber </w:t>
      </w:r>
      <w:r>
        <w:rPr>
          <w:b/>
          <w:color w:val="1F3A5F"/>
          <w:sz w:val="21"/>
        </w:rPr>
        <w:t>14 Dokumente</w:t>
      </w:r>
      <w:r>
        <w:rPr>
          <w:b w:val="0"/>
          <w:color w:val="1F2937"/>
          <w:sz w:val="21"/>
        </w:rPr>
        <w:t xml:space="preserve"> betreibt. Sicher in Python, Vektordatenbanken, Embedding Modellen und im Uebersetzen fachlicher Anforderungen in technische Loesungsansaetze.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