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AI Engineering for Business Applications</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large language model application building, prompt engineering, and cloud backend delivery. I have shipped a modular Retrieval Augmented Generation system with a custom decision making router on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LangChain orchestration, ChromaDB, and a stateful memory agent behind a Streamlit interface, a fairness by design credit scoring tool with a plain language LLM generated explanation for finance managers, and a fully automated Bronze to Silver to Gold BigQuery medallion pipeline with BigQuery ML classifier on Google Cloud. Proficient in Python, LangChain, LLM APIs, and cloud platforms, I am the right fit for a Working Student position on AI Engineering for Business Applications in the Cloud ERP Finance Product Services team at SAP.</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w:t>
            </w:r>
          </w:p>
          <w:p>
            <w:pPr>
              <w:spacing w:before="0" w:after="0" w:line="264" w:lineRule="auto"/>
              <w:ind w:left="170"/>
              <w:jc w:val="both"/>
            </w:pPr>
            <w:r>
              <w:rPr>
                <w:b/>
                <w:color w:val="B8663F"/>
                <w:sz w:val="21"/>
              </w:rPr>
              <w:t xml:space="preserve">• </w:t>
            </w:r>
            <w:r>
              <w:rPr>
                <w:b w:val="0"/>
                <w:color w:val="1F2937"/>
                <w:sz w:val="21"/>
              </w:rPr>
              <w:t>Built a persistent semantic memory over PDF and vector data, measured by consistent retrieval on cross session queries, using ChromaDB with local persistence and HuggingFace MiniLM L6 v2 embeddings.</w:t>
            </w:r>
          </w:p>
          <w:p>
            <w:pPr>
              <w:spacing w:before="0" w:after="0" w:line="264" w:lineRule="auto"/>
              <w:ind w:left="170"/>
              <w:jc w:val="both"/>
            </w:pPr>
            <w:r>
              <w:rPr>
                <w:b/>
                <w:color w:val="B8663F"/>
                <w:sz w:val="21"/>
              </w:rPr>
              <w:t xml:space="preserve">• </w:t>
            </w:r>
            <w:r>
              <w:rPr>
                <w:b w:val="0"/>
                <w:color w:val="1F2937"/>
                <w:sz w:val="21"/>
              </w:rPr>
              <w:t>Kept multi turn context intact for the LLM, measured by coherent follow up answers rather than isolated single shot responses, by adding a stateful MemoryAgent directly into the inference pipeline.</w:t>
            </w:r>
          </w:p>
          <w:p>
            <w:pPr>
              <w:spacing w:before="0" w:after="0" w:line="264" w:lineRule="auto"/>
              <w:ind w:left="170"/>
              <w:jc w:val="both"/>
            </w:pPr>
            <w:r>
              <w:rPr>
                <w:b/>
                <w:color w:val="B8663F"/>
                <w:sz w:val="21"/>
              </w:rPr>
              <w:t xml:space="preserve">• </w:t>
            </w:r>
            <w:r>
              <w:rPr>
                <w:b w:val="0"/>
                <w:color w:val="1F2937"/>
                <w:sz w:val="21"/>
              </w:rPr>
              <w:t>Shipped the whole system as a Streamlit interface with end to end ownership, measured by a working deployed prototype, using Groq inference and a modular routing layer that can be extended per new intent.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Raised the model's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measured against the EU AI Act and AGG </w:t>
            </w:r>
            <w:r>
              <w:rPr>
                <w:b/>
                <w:color w:val="1F3A5F"/>
                <w:sz w:val="21"/>
              </w:rPr>
              <w:t>80 percent</w:t>
            </w:r>
            <w:r>
              <w:rPr>
                <w:b w:val="0"/>
                <w:color w:val="1F2937"/>
                <w:sz w:val="21"/>
              </w:rPr>
              <w:t xml:space="preserve"> fairness threshold, using AIF360 mitigation and threshold calibration on a real credit dataset.</w:t>
            </w:r>
          </w:p>
          <w:p>
            <w:pPr>
              <w:spacing w:before="0" w:after="0" w:line="264" w:lineRule="auto"/>
              <w:ind w:left="170"/>
              <w:jc w:val="both"/>
            </w:pPr>
            <w:r>
              <w:rPr>
                <w:b/>
                <w:color w:val="B8663F"/>
                <w:sz w:val="21"/>
              </w:rPr>
              <w:t xml:space="preserve">• </w:t>
            </w:r>
            <w:r>
              <w:rPr>
                <w:b w:val="0"/>
                <w:color w:val="1F2937"/>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Cut the false negative rate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holding accuracy at </w:t>
            </w:r>
            <w:r>
              <w:rPr>
                <w:b/>
                <w:color w:val="1F3A5F"/>
                <w:sz w:val="21"/>
              </w:rPr>
              <w:t>75 percent</w:t>
            </w:r>
            <w:r>
              <w:rPr>
                <w:b w:val="0"/>
                <w:color w:val="1F2937"/>
                <w:sz w:val="21"/>
              </w:rPr>
              <w:t>, measured on the held out test split, by documenting the fairness accuracy trade off as a deliberate and regulator defensible decision rather than a hidden compromise.</w:t>
            </w:r>
          </w:p>
          <w:p>
            <w:pPr>
              <w:spacing w:before="0" w:after="0" w:line="264" w:lineRule="auto"/>
              <w:ind w:left="170"/>
              <w:jc w:val="both"/>
            </w:pPr>
            <w:r>
              <w:rPr>
                <w:b/>
                <w:color w:val="B8663F"/>
                <w:sz w:val="21"/>
              </w:rPr>
              <w:t xml:space="preserve">• </w:t>
            </w:r>
            <w:r>
              <w:rPr>
                <w:b w:val="0"/>
                <w:color w:val="1F2937"/>
                <w:sz w:val="21"/>
              </w:rPr>
              <w:t xml:space="preserve">Shipped a Streamlit decision support tool that gives finance managers a recommendation plus a plain language LLM generated explanation, measured against GDPR Article 22 and EU AI Act Article 14 human in the loop requirements, and backed the pipeline with unit tests at </w:t>
            </w:r>
            <w:r>
              <w:rPr>
                <w:b/>
                <w:color w:val="1F3A5F"/>
                <w:sz w:val="21"/>
              </w:rPr>
              <w:t>100 percent</w:t>
            </w:r>
            <w:r>
              <w:rPr>
                <w:b w:val="0"/>
                <w:color w:val="1F2937"/>
                <w:sz w:val="21"/>
              </w:rPr>
              <w:t xml:space="preserve"> branch coverage and a full regulatory write up.</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and ML Pipeline on GCP</w:t>
            </w:r>
          </w:p>
          <w:p>
            <w:pPr>
              <w:spacing w:before="0" w:after="0" w:line="264" w:lineRule="auto"/>
              <w:ind w:left="170"/>
              <w:jc w:val="both"/>
            </w:pPr>
            <w:r>
              <w:rPr>
                <w:b/>
                <w:color w:val="B8663F"/>
                <w:sz w:val="21"/>
              </w:rPr>
              <w:t xml:space="preserve">• </w:t>
            </w:r>
            <w:r>
              <w:rPr>
                <w:b w:val="0"/>
                <w:color w:val="1F2937"/>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spacing w:before="0" w:after="0" w:line="264" w:lineRule="auto"/>
              <w:ind w:left="170"/>
              <w:jc w:val="both"/>
            </w:pPr>
            <w:r>
              <w:rPr>
                <w:b/>
                <w:color w:val="B8663F"/>
                <w:sz w:val="21"/>
              </w:rPr>
              <w:t xml:space="preserve">• </w:t>
            </w:r>
            <w:r>
              <w:rPr>
                <w:b w:val="0"/>
                <w:color w:val="1F2937"/>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spacing w:before="0" w:after="0" w:line="264" w:lineRule="auto"/>
              <w:ind w:left="170"/>
              <w:jc w:val="both"/>
            </w:pPr>
            <w:r>
              <w:rPr>
                <w:b/>
                <w:color w:val="B8663F"/>
                <w:sz w:val="21"/>
              </w:rPr>
              <w:t xml:space="preserve">• </w:t>
            </w:r>
            <w:r>
              <w:rPr>
                <w:b w:val="0"/>
                <w:color w:val="1F2937"/>
                <w:sz w:val="21"/>
              </w:rPr>
              <w:t>Trained a BigQuery ML classifier that predicts whether a film will be a hit before release, measured by leakage free evaluation, by deliberately splitting features into two tables so only pre release signals feed the model.</w:t>
            </w:r>
          </w:p>
          <w:p>
            <w:pPr>
              <w:spacing w:before="0" w:after="0" w:line="264" w:lineRule="auto"/>
              <w:ind w:left="170"/>
              <w:jc w:val="both"/>
            </w:pPr>
            <w:r>
              <w:rPr>
                <w:b/>
                <w:color w:val="B8663F"/>
                <w:sz w:val="21"/>
              </w:rPr>
              <w:t xml:space="preserve">• </w:t>
            </w:r>
            <w:r>
              <w:rPr>
                <w:b w:val="0"/>
                <w:color w:val="1F2937"/>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p>
      <w:pPr>
        <w:spacing w:before="20" w:after="0" w:line="240" w:lineRule="auto"/>
      </w:pPr>
      <w:r>
        <w:rPr>
          <w:color w:val="1F2937"/>
          <w:sz w:val="21"/>
        </w:rPr>
        <w:t>Mannheim, 26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