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AI und Data Automation Mobilfunk Rollout</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Aufbau produktionsreifer Datenpipelines, Cloud ETL, Automatisierung und BI Reporting. Ich habe eine vollstaendig automatisierte BigQuery Medallion Pipeline mit einem leakage freien BigQuery ML Klassifikator und fuenfseitigem Looker Studio Dashboard umgesetzt, eine Echtzeit Cloud Pipeline mit PySpark, dbt und Apache Airflow ueber mehr als 128 tausend Datensaetze betrieben und ein interaktives Tableau Dashboard mit dynamischen Set Actions ausgeliefert. Sicher in Python, SQL, Cloud und BI Werkzeugen und mit Freude an Automatisierung, bin ich die richtige Verstaerkung fuer AI und Data Automation im Mobilfunk Rollout bei 1&amp;1 in Duesseldorf.</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Im Rahmen einer sechsmonatigen Zusammenarbeit zwischen eRay GmbH und SRH Hochschule Heidelberg zur Prognose der Wasserqualität eines deutschen Sees, mit dem Auftrag vier Indikatoren über rollende Horizonte zu prognostizieren, wurde eine end to end rekursive Zeitreihen Pipeline für Chlorophyll a, Trübung, pH Wert und gelösten Sauerstoff aufgebaut, als produktionsreifes Modul geliefert, das der Kunde bei jeder neuen Sensordatenlieferung erneut ausführen kann.</w:t>
            </w:r>
          </w:p>
          <w:p>
            <w:pPr>
              <w:spacing w:before="0" w:after="0" w:line="264" w:lineRule="auto"/>
              <w:ind w:left="170"/>
              <w:jc w:val="both"/>
            </w:pPr>
            <w:r>
              <w:rPr>
                <w:b/>
                <w:color w:val="B8663F"/>
                <w:sz w:val="21"/>
              </w:rPr>
              <w:t xml:space="preserve">• </w:t>
            </w:r>
            <w:r>
              <w:rPr>
                <w:b w:val="0"/>
                <w:color w:val="1F2937"/>
                <w:sz w:val="21"/>
              </w:rPr>
              <w:t>Angesichts unklarer Modellwahl für die Prognoseaufgabe und der Notwendigkeit, Unsicherheit gegenüber nichttechnischen Stakeholdern verständlich zu machen, wurden sechs Kandidaten direkt verglichen, Ridge, Gradient Boosting, LightGBM, XGBoost, CatBoost und Prophet, und die Entscheidung fiel auf CatBoost Multi Quantil Regression, die asymmetrische 80 Prozent Vorhersageintervalle lieferte und dem Kunden Entscheidungsunterstützung unter Unsicherheit ermöglichte.</w:t>
            </w:r>
          </w:p>
          <w:p>
            <w:pPr>
              <w:spacing w:before="0" w:after="0" w:line="264" w:lineRule="auto"/>
              <w:ind w:left="170"/>
              <w:jc w:val="both"/>
            </w:pPr>
            <w:r>
              <w:rPr>
                <w:b/>
                <w:color w:val="B8663F"/>
                <w:sz w:val="21"/>
              </w:rPr>
              <w:t xml:space="preserve">• </w:t>
            </w:r>
            <w:r>
              <w:rPr>
                <w:b w:val="0"/>
                <w:color w:val="1F2937"/>
                <w:sz w:val="21"/>
              </w:rPr>
              <w:t>Aus der Sorge, dass naive Zeitreihen Splits die Genauigkeit verzerren würden, mit dem Auftrag die Evaluation belastbar zu machen, wurden strenge Anti Leakage Regeln in der gesamten Pipeline erzwungen, was die ehrliche Erkenntnis offenlegte,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Bei fehlenden Winter Messwerten und baumbasierten Modellen, die während der rekursiven Vorhersage flach wurden, mit dem Ziel realistische saisonale Muster in den nachgelagerten Prognosen zu erhalten, wurden fehlende Werte mit MICE Imputation rekonstruiert und ein synthetischer Winter Decay Prognose Rahmen entwickelt, was glaubwürdiges Winterverhalten wiederherstellte, ohne Verzerrung in das Trainingsfenster einzubringen.</w:t>
            </w:r>
          </w:p>
          <w:p>
            <w:pPr>
              <w:spacing w:before="0" w:after="0" w:line="264" w:lineRule="auto"/>
              <w:ind w:left="170"/>
              <w:jc w:val="both"/>
            </w:pPr>
            <w:r>
              <w:rPr>
                <w:b/>
                <w:color w:val="B8663F"/>
                <w:sz w:val="21"/>
              </w:rPr>
              <w:t xml:space="preserve">• </w:t>
            </w:r>
            <w:r>
              <w:rPr>
                <w:b w:val="0"/>
                <w:color w:val="1F2937"/>
                <w:sz w:val="21"/>
              </w:rPr>
              <w:t>Um zu verhindern, dass fehlerhafte Daten sich rekursiv durch den Forecaster fortpflanzen, mit dem Auftrag die Ausführungsschleife zu härten, wurde die Pipeline mit einem Orchestrator mit Gate Checks sowie Geschwindigkeits und ökologischen Grenzen umschlossen, sodass eine fehlgeschlagene Imputation nun den Lauf stoppt, statt Wochen nachgelagerter Vorhersagen zu beschädigen.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bis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64" w:lineRule="auto"/>
              <w:ind w:left="170"/>
              <w:jc w:val="both"/>
            </w:pPr>
            <w:r>
              <w:rPr>
                <w:b/>
                <w:color w:val="B8663F"/>
                <w:sz w:val="21"/>
              </w:rPr>
              <w:t xml:space="preserve">• </w:t>
            </w:r>
            <w:r>
              <w:rPr>
                <w:b w:val="0"/>
                <w:color w:val="1F2937"/>
                <w:sz w:val="21"/>
              </w:rPr>
              <w:t>Bei einem Kunden, dessen Legacy AngularJS Anwendung in einem bestehenden Module Federation Setup neben neueren React Micro Frontends laufen sollte, mit dem Auftrag die Screens des Kunden zu portieren ohne das laufende Produkt zu brechen, wurden rund 8 Routen von AngularJS auf React innerhalb der Module Federation Shell portiert, ausgeliefert über 4 Monate in schrittweisen Releases und ohne Produktionsausfälle während des Rollouts eingespielt.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bis Aug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Echtzeit Flugverfolgungs Pipeline</w:t>
            </w:r>
          </w:p>
          <w:p>
            <w:pPr>
              <w:spacing w:before="0" w:after="0" w:line="264" w:lineRule="auto"/>
              <w:ind w:left="170"/>
              <w:jc w:val="both"/>
            </w:pPr>
            <w:r>
              <w:rPr>
                <w:b/>
                <w:color w:val="B8663F"/>
                <w:sz w:val="21"/>
              </w:rPr>
              <w:t xml:space="preserve">• </w:t>
            </w:r>
            <w:r>
              <w:rPr>
                <w:b w:val="0"/>
                <w:color w:val="1F2937"/>
                <w:sz w:val="21"/>
              </w:rPr>
              <w:t>Für ein Data Engineering Modul an der SRH Heidelberg, das eine Echtzeitsicht auf Live Flugzeuge über Deutschland benötigte, mit dem Auftrag die Sammel und Anreicherungsschicht zu bauen, wurden Python Collectors aufgesetzt, die die OpenSky Network API alle 30 Sekunden abfragen, sowie PySpark Cleaning auf Google Cloud, das gegen Flughafen, Flugzeug und Wetterdaten aus vier Quellen joint, was eine saubere Join Tabelle mit über 128 tausend Datensätzen ergab.</w:t>
            </w:r>
          </w:p>
          <w:p>
            <w:pPr>
              <w:spacing w:before="0" w:after="0" w:line="264" w:lineRule="auto"/>
              <w:ind w:left="170"/>
              <w:jc w:val="both"/>
            </w:pPr>
            <w:r>
              <w:rPr>
                <w:b/>
                <w:color w:val="B8663F"/>
                <w:sz w:val="21"/>
              </w:rPr>
              <w:t xml:space="preserve">• </w:t>
            </w:r>
            <w:r>
              <w:rPr>
                <w:b w:val="0"/>
                <w:color w:val="1F2937"/>
                <w:sz w:val="21"/>
              </w:rPr>
              <w:t>Da Rohdaten der Collectors nicht direkt analysierbar waren und jedes Flugzeug ein nächstgelegenes Flughafen Label brauchte, mit dem Auftrag die Modellierungsschicht zu bauen, wurden die Daten mit dbt in analysebereite Tabellen geformt und der nächstgelegene Flughafen mit PySpark berechnet, was konsistente Labels über den gesamten historischen Zeitraum lieferte.</w:t>
            </w:r>
          </w:p>
          <w:p>
            <w:pPr>
              <w:spacing w:before="0" w:after="0" w:line="264" w:lineRule="auto"/>
              <w:ind w:left="170"/>
              <w:jc w:val="both"/>
            </w:pPr>
            <w:r>
              <w:rPr>
                <w:b/>
                <w:color w:val="B8663F"/>
                <w:sz w:val="21"/>
              </w:rPr>
              <w:t xml:space="preserve">• </w:t>
            </w:r>
            <w:r>
              <w:rPr>
                <w:b w:val="0"/>
                <w:color w:val="1F2937"/>
                <w:sz w:val="21"/>
              </w:rPr>
              <w:t xml:space="preserve">Da manuelle Reruns das Echtzeit Versprechen brechen würden, mit dem Auftrag die Aktualisierung zu automatisieren, wurde das Gesamtsystem mit Apache Airflow auf GCS Speicher und Dataproc Compute so orchestriert, dass sich Batch und Echtzeit Schichten alle </w:t>
            </w:r>
            <w:r>
              <w:rPr>
                <w:b/>
                <w:color w:val="1F3A5F"/>
                <w:sz w:val="21"/>
              </w:rPr>
              <w:t>15 Minute</w:t>
            </w:r>
            <w:r>
              <w:rPr>
                <w:b w:val="0"/>
                <w:color w:val="1F2937"/>
                <w:sz w:val="21"/>
              </w:rPr>
              <w:t>n unbeaufsichtigt aktualisieren.</w:t>
            </w:r>
          </w:p>
          <w:p>
            <w:pPr>
              <w:spacing w:before="10" w:after="0"/>
            </w:pPr>
            <w:r>
              <w:rPr>
                <w:b/>
                <w:color w:val="B8663F"/>
                <w:sz w:val="19"/>
              </w:rPr>
              <w:t xml:space="preserve">Technologies: </w:t>
            </w:r>
            <w:r>
              <w:rPr>
                <w:i/>
                <w:color w:val="6C7A93"/>
                <w:sz w:val="19"/>
              </w:rPr>
              <w:t>Python, PySpark, BigQuery, dbt, Apache Airflow, GCP Dataproc und GCS, Tableau mit TabPy</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innen und Patienten, mit dem Auftrag einen belastbaren Modellvergleich zu liefern, den die Prüfer nachprüfen können, wurde eine vollständige end to end Machine Learning Pipeline mit sechs Klassifikatoren, 10 facher Kreuzvalidierung und pro Modell erstellten Konfusionsmatrizen aufgebaut, was einen Modellvergleich ergab, der in der Verteidigung standhielt.</w:t>
            </w:r>
          </w:p>
          <w:p>
            <w:pPr>
              <w:spacing w:before="0" w:after="0" w:line="264" w:lineRule="auto"/>
              <w:ind w:left="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64" w:lineRule="auto"/>
              <w:ind w:left="170"/>
              <w:jc w:val="both"/>
            </w:pPr>
            <w:r>
              <w:rPr>
                <w:b/>
                <w:color w:val="B8663F"/>
                <w:sz w:val="21"/>
              </w:rPr>
              <w:t xml:space="preserve">• </w:t>
            </w:r>
            <w:r>
              <w:rPr>
                <w:b w:val="0"/>
                <w:color w:val="1F2937"/>
                <w:sz w:val="21"/>
              </w:rPr>
              <w:t>Bei einer 65 zu 35 Klassenungleichgewicht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64" w:lineRule="auto"/>
              <w:ind w:left="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