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Machine Learning Automated Driving</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und Benchmarking von Machine Learning und Deep Learning Modellen sowie in der Verarbeitung grosser Sensor- und Zeitreihen Datensaetze. Ich habe bei eRay GmbH eine end to end rekursive Zeitreihen Pipeline mit CatBoost MultiQuantile und </w:t>
      </w:r>
      <w:r>
        <w:rPr>
          <w:b/>
          <w:color w:val="1F3A5F"/>
          <w:sz w:val="21"/>
        </w:rPr>
        <w:t>80 Prozent</w:t>
      </w:r>
      <w:r>
        <w:rPr>
          <w:b w:val="0"/>
          <w:color w:val="1F2937"/>
          <w:sz w:val="21"/>
        </w:rPr>
        <w:t xml:space="preserve"> Vorhersageintervallen fuer Umweltindikatoren geliefert und ein Multi Agent RAG System mit LLM as Judge Evaluation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Sicher in Python, PyTorch, scikit-learn und im sauberen Umgang mit heterogenen Datenquellen.</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