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b/>
          <w:i w:val="0"/>
          <w:color w:val="0B2E59"/>
          <w:sz w:val="37"/>
        </w:rPr>
        <w:t>Rahul Rawat</w:t>
      </w:r>
    </w:p>
    <w:p>
      <w:pPr>
        <w:spacing w:after="80"/>
      </w:pPr>
      <w:r>
        <w:rPr>
          <w:rFonts w:ascii="Calibri" w:hAnsi="Calibri"/>
          <w:b w:val="0"/>
          <w:i w:val="0"/>
          <w:color w:val="1A1A1A"/>
          <w:sz w:val="20"/>
        </w:rPr>
        <w:t>rahulrawat2r@gmail.com  •  015563603340  •  linkedin.com/in/rahulrawat2r  •  github.com/rahulrawat20022002  •  Mannheim, Germany</w:t>
      </w:r>
    </w:p>
    <w:p>
      <w:pPr>
        <w:spacing w:before="40" w:after="120"/>
        <w:pBdr>
          <w:bottom w:val="single" w:sz="6" w:space="1" w:color="B64A2A"/>
        </w:pBdr>
      </w:pPr>
    </w:p>
    <w:p>
      <w:pPr>
        <w:spacing w:before="80" w:after="60"/>
      </w:pPr>
      <w:r>
        <w:rPr>
          <w:rFonts w:ascii="Calibri" w:hAnsi="Calibri"/>
          <w:b/>
          <w:i w:val="0"/>
          <w:color w:val="0B2E59"/>
          <w:sz w:val="25"/>
        </w:rPr>
        <w:t>PROFILE</w:t>
      </w:r>
    </w:p>
    <w:p>
      <w:pPr>
        <w:spacing w:after="60" w:line="288" w:lineRule="auto"/>
        <w:jc w:val="both"/>
      </w:pPr>
      <w:r>
        <w:rPr>
          <w:rFonts w:ascii="Calibri" w:hAnsi="Calibri"/>
          <w:b w:val="0"/>
          <w:i w:val="0"/>
          <w:color w:val="1A1A1A"/>
          <w:sz w:val="21"/>
        </w:rPr>
        <w:t>Data Science and Analytics Master student at SRH Heidelberg based in Mannheim, focused on RAG, LLMs, and multi agent systems on real data. I shipped a modular RAG orchestrator on Llama 3.1 with LangChain, a custom intent router, ChromaDB, and MiniLM embeddings, plus an evaluation and bias detection framework in CreditIQ. The overlap with an agentic copilot on vehicle diagnostic data, using LangGraph, vector databases such as Chroma or Qdrant, and fine tuned Llama or Mistral models, is direct.</w:t>
      </w:r>
    </w:p>
    <w:p>
      <w:pPr>
        <w:spacing w:before="40" w:after="120"/>
        <w:pBdr>
          <w:bottom w:val="single" w:sz="6" w:space="1" w:color="B64A2A"/>
        </w:pBdr>
      </w:pPr>
    </w:p>
    <w:p>
      <w:pPr>
        <w:spacing w:before="80" w:after="60"/>
      </w:pPr>
      <w:r>
        <w:rPr>
          <w:rFonts w:ascii="Calibri" w:hAnsi="Calibri"/>
          <w:b/>
          <w:i w:val="0"/>
          <w:color w:val="0B2E59"/>
          <w:sz w:val="25"/>
        </w:rPr>
        <w:t>EDUCATION</w:t>
      </w:r>
    </w:p>
    <w:p>
      <w:pPr>
        <w:tabs>
          <w:tab w:pos="9751" w:val="right"/>
        </w:tabs>
        <w:spacing w:after="0"/>
      </w:pPr>
      <w:r>
        <w:rPr>
          <w:rFonts w:ascii="Calibri" w:hAnsi="Calibri"/>
          <w:b/>
          <w:i w:val="0"/>
          <w:color w:val="0B2E59"/>
          <w:sz w:val="23"/>
        </w:rPr>
        <w:t>M.Sc. Data Science and Analytics</w:t>
      </w:r>
      <w:r>
        <w:rPr>
          <w:rFonts w:ascii="Calibri" w:hAnsi="Calibri"/>
          <w:b w:val="0"/>
          <w:i w:val="0"/>
          <w:color w:val="1A1A1A"/>
          <w:sz w:val="21"/>
        </w:rPr>
        <w:tab/>
      </w:r>
      <w:r>
        <w:rPr>
          <w:rFonts w:ascii="Calibri" w:hAnsi="Calibri"/>
          <w:b w:val="0"/>
          <w:i w:val="0"/>
          <w:color w:val="1A1A1A"/>
          <w:sz w:val="21"/>
        </w:rPr>
        <w:t>Apr 2025 to Present</w:t>
      </w:r>
    </w:p>
    <w:p>
      <w:pPr>
        <w:spacing w:after="120"/>
      </w:pPr>
      <w:r>
        <w:rPr>
          <w:rFonts w:ascii="Calibri" w:hAnsi="Calibri"/>
          <w:b w:val="0"/>
          <w:i/>
          <w:color w:val="555555"/>
          <w:sz w:val="21"/>
        </w:rPr>
        <w:t>SRH University of Applied Sciences Heidelberg</w:t>
      </w:r>
    </w:p>
    <w:p>
      <w:pPr>
        <w:tabs>
          <w:tab w:pos="9751" w:val="right"/>
        </w:tabs>
        <w:spacing w:after="0"/>
      </w:pPr>
      <w:r>
        <w:rPr>
          <w:rFonts w:ascii="Calibri" w:hAnsi="Calibri"/>
          <w:b/>
          <w:i w:val="0"/>
          <w:color w:val="0B2E59"/>
          <w:sz w:val="23"/>
        </w:rPr>
        <w:t>Bachelor of Technology in Computer Science</w:t>
      </w:r>
      <w:r>
        <w:rPr>
          <w:rFonts w:ascii="Calibri" w:hAnsi="Calibri"/>
          <w:b w:val="0"/>
          <w:i w:val="0"/>
          <w:color w:val="1A1A1A"/>
          <w:sz w:val="21"/>
        </w:rPr>
        <w:tab/>
      </w:r>
      <w:r>
        <w:rPr>
          <w:rFonts w:ascii="Calibri" w:hAnsi="Calibri"/>
          <w:b w:val="0"/>
          <w:i w:val="0"/>
          <w:color w:val="1A1A1A"/>
          <w:sz w:val="21"/>
        </w:rPr>
        <w:t>2019 to 2023</w:t>
      </w:r>
    </w:p>
    <w:p>
      <w:pPr>
        <w:spacing w:after="120"/>
      </w:pPr>
      <w:r>
        <w:rPr>
          <w:rFonts w:ascii="Calibri" w:hAnsi="Calibri"/>
          <w:b w:val="0"/>
          <w:i/>
          <w:color w:val="555555"/>
          <w:sz w:val="21"/>
        </w:rPr>
        <w:t>GL Bajaj Institute of Technology and Management</w:t>
      </w:r>
    </w:p>
    <w:p>
      <w:pPr>
        <w:spacing w:before="40" w:after="120"/>
        <w:pBdr>
          <w:bottom w:val="single" w:sz="6" w:space="1" w:color="B64A2A"/>
        </w:pBdr>
      </w:pPr>
    </w:p>
    <w:p>
      <w:pPr>
        <w:spacing w:before="80" w:after="60"/>
      </w:pPr>
      <w:r>
        <w:rPr>
          <w:rFonts w:ascii="Calibri" w:hAnsi="Calibri"/>
          <w:b/>
          <w:i w:val="0"/>
          <w:color w:val="0B2E59"/>
          <w:sz w:val="25"/>
        </w:rPr>
        <w:t>EXPERIENCE</w:t>
      </w:r>
    </w:p>
    <w:p>
      <w:pPr>
        <w:spacing w:after="0"/>
      </w:pPr>
      <w:r>
        <w:rPr>
          <w:rFonts w:ascii="Calibri" w:hAnsi="Calibri"/>
          <w:b/>
          <w:i w:val="0"/>
          <w:color w:val="0B2E59"/>
          <w:sz w:val="23"/>
        </w:rPr>
        <w:t>eRay GmbH</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Built an end to end recursive time series pipeline forecasting chlorophyll a, turbidity, pH, and dissolved oxygen for a German lake, delivered as a six month collaboration with SRH University Heidelberg.</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Benchmarked six models head to head, Ridge, Gradient Boosting, LightGBM, XGBoost, CatBoost, and Prophet, and used CatBoost multi quantile regression to produce asymmetric 80 percent prediction intervals.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Enforced strict anti leakage rules across the pipeline, surfacing the honest finding that pH and dissolved oxygen are physically predictable while chlorophyll a and turbidity are not without live optical sensors.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Reconstructed missing winter readings with MICE imputation and engineered a synthetic winter decay forecast canvas so tree based models stopped flatlining during recursive prediction.</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Wrapped the whole pipeline in an orchestrator with gate checks and velocity and ecological bounds that halts on failed imputation rather than letting bad data cascade downstream, a discipline that carries directly into anomaly detection on diagnosis traces.</w:t>
      </w:r>
    </w:p>
    <w:p>
      <w:pPr>
        <w:spacing w:before="40" w:after="120"/>
        <w:pBdr>
          <w:bottom w:val="single" w:sz="6" w:space="1" w:color="B64A2A"/>
        </w:pBdr>
      </w:pPr>
    </w:p>
    <w:p>
      <w:pPr>
        <w:spacing w:before="80" w:after="60"/>
      </w:pPr>
      <w:r>
        <w:rPr>
          <w:rFonts w:ascii="Calibri" w:hAnsi="Calibri"/>
          <w:b/>
          <w:i w:val="0"/>
          <w:color w:val="0B2E59"/>
          <w:sz w:val="25"/>
        </w:rPr>
        <w:t>PERSONAL PROJECTS</w:t>
      </w:r>
    </w:p>
    <w:p>
      <w:pPr>
        <w:spacing w:before="80" w:after="0"/>
      </w:pPr>
      <w:r>
        <w:rPr>
          <w:rFonts w:ascii="Calibri" w:hAnsi="Calibri"/>
          <w:b/>
          <w:i w:val="0"/>
          <w:color w:val="0B2E59"/>
          <w:sz w:val="23"/>
        </w:rPr>
        <w:t>Hybrid RAG Orchestrator</w:t>
      </w:r>
      <w:r>
        <w:rPr>
          <w:rFonts w:ascii="Calibri" w:hAnsi="Calibri"/>
          <w:b/>
          <w:i w:val="0"/>
          <w:color w:val="0B2E59"/>
          <w:sz w:val="23"/>
        </w:rPr>
        <w:t xml:space="preserve">: </w:t>
      </w:r>
      <w:r>
        <w:rPr>
          <w:rFonts w:ascii="Calibri" w:hAnsi="Calibri"/>
          <w:b w:val="0"/>
          <w:i/>
          <w:color w:val="555555"/>
          <w:sz w:val="21"/>
        </w:rPr>
        <w:t>Python, LangChain, Llama 3.1 8b on Groq, ChromaDB, HuggingFace MiniLM L6 v2, Streamlit</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Designed a modular Retrieval Augmented Generation system using Llama 3.1 8b via Groq for high speed inference and LangChain for orchestration, a pattern that scales directly to an agentic copilot on vehicle diagnosis data.</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Engineered a custom decision making router that dynamically classifies user intent into three execution paths, local knowledge retrieval on PDF and vector stores, external web search through DuckDuckGo, and direct conversational logic, a lightweight multi agent coordinator.</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Implemented ChromaDB with local persistence for document storage, using HuggingFace MiniLM L6 v2 for semantic embeddings, the same vektor datenbank shape used for automotive knowledge bases in tools like Qdrant.</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Built a stateful MemoryAgent that maintains conversational context across multiple turns and integrated it directly into the inference pipeline for coherent multi turn behaviour.</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Shipped the whole system behind a Streamlit interface as a deployed end to end tool, owning the design, implementation, and rollout in full.</w:t>
      </w:r>
    </w:p>
    <w:p>
      <w:pPr>
        <w:spacing w:before="80" w:after="0"/>
      </w:pPr>
      <w:r>
        <w:rPr>
          <w:rFonts w:ascii="Calibri" w:hAnsi="Calibri"/>
          <w:b/>
          <w:i w:val="0"/>
          <w:color w:val="0B2E59"/>
          <w:sz w:val="23"/>
        </w:rPr>
        <w:t>CreditIQ, Fairness by Design Credit Scoring System</w:t>
      </w:r>
      <w:r>
        <w:rPr>
          <w:rFonts w:ascii="Calibri" w:hAnsi="Calibri"/>
          <w:b/>
          <w:i w:val="0"/>
          <w:color w:val="0B2E59"/>
          <w:sz w:val="23"/>
        </w:rPr>
        <w:t xml:space="preserve">: </w:t>
      </w:r>
      <w:r>
        <w:rPr>
          <w:rFonts w:ascii="Calibri" w:hAnsi="Calibri"/>
          <w:b w:val="0"/>
          <w:i/>
          <w:color w:val="555555"/>
          <w:sz w:val="21"/>
        </w:rPr>
        <w:t>Python, scikit learn, AIF360, SHAP, Streamlit</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Lifted the model's Disparate Impact ratio from a failing 0.79 to a compliant 0.88, clearing the EU AI Act and AGG 80 percent fairness threshold.</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Diagnosed a hidden intersectional bias where younger women were still being penalised even after single axis age bias was fixed, using SHAP for explainability across features, then designed a four way age by gender threshold matrix to correct it.</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Cut the false negative rate from 44 percent to 16.7 percent while holding accuracy at 75 percent, documenting the fairness accuracy trade off as a deliberate and regulator defensible decision.</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Shipped a Streamlit decision support tool with LLM generated explanations, backed by unit tests at 100 percent branch coverage and a full regulatory write up covering the EU AI Act Annex III and GDPR.</w:t>
      </w:r>
    </w:p>
    <w:p>
      <w:pPr>
        <w:spacing w:before="80" w:after="0"/>
      </w:pPr>
      <w:r>
        <w:rPr>
          <w:rFonts w:ascii="Calibri" w:hAnsi="Calibri"/>
          <w:b/>
          <w:i w:val="0"/>
          <w:color w:val="0B2E59"/>
          <w:sz w:val="23"/>
        </w:rPr>
        <w:t>Real Time Flight Tracking Data Pipeline</w:t>
      </w:r>
      <w:r>
        <w:rPr>
          <w:rFonts w:ascii="Calibri" w:hAnsi="Calibri"/>
          <w:b/>
          <w:i w:val="0"/>
          <w:color w:val="0B2E59"/>
          <w:sz w:val="23"/>
        </w:rPr>
        <w:t xml:space="preserve">: </w:t>
      </w:r>
      <w:r>
        <w:rPr>
          <w:rFonts w:ascii="Calibri" w:hAnsi="Calibri"/>
          <w:b w:val="0"/>
          <w:i/>
          <w:color w:val="555555"/>
          <w:sz w:val="21"/>
        </w:rPr>
        <w:t>Python, PySpark, BigQuery, dbt, Apache Airflow, GCP with Dataproc and GCE and GCS, Tableau, TabPy, OAuth2</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Set up real time data collection from the OpenSky Network REST API, polling live positions every 30 seconds and enriching each against airport, aircraft, and weather data across four sources, the exact profile of a real diagnostic log ingestion path.</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Cleaned raw data with PySpark on Google Cloud and shaped it into analysis ready tables with dbt, computing each aircraft's nearest airport along the way.</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Orchestrated the whole system with Apache Airflow so batch and real time layers refresh automatically every 15 minutes, showing production grade ML pipeline discipline.</w:t>
      </w:r>
    </w:p>
    <w:p>
      <w:pPr>
        <w:spacing w:before="40" w:after="120"/>
        <w:pBdr>
          <w:bottom w:val="single" w:sz="6" w:space="1" w:color="B64A2A"/>
        </w:pBdr>
      </w:pPr>
    </w:p>
    <w:p>
      <w:pPr>
        <w:spacing w:before="80" w:after="60"/>
      </w:pPr>
      <w:r>
        <w:rPr>
          <w:rFonts w:ascii="Calibri" w:hAnsi="Calibri"/>
          <w:b/>
          <w:i w:val="0"/>
          <w:color w:val="0B2E59"/>
          <w:sz w:val="25"/>
        </w:rPr>
        <w:t>RESEARCH AND THESIS</w:t>
      </w:r>
    </w:p>
    <w:p>
      <w:pPr>
        <w:spacing w:after="0"/>
      </w:pPr>
      <w:r>
        <w:rPr>
          <w:rFonts w:ascii="Calibri" w:hAnsi="Calibri"/>
          <w:b/>
          <w:i w:val="0"/>
          <w:color w:val="0B2E59"/>
          <w:sz w:val="23"/>
        </w:rPr>
        <w:t>Bachelor Thesis, Diabetes Prediction Using Machine Learning</w:t>
      </w:r>
    </w:p>
    <w:p>
      <w:pPr>
        <w:spacing w:after="80"/>
      </w:pPr>
      <w:r>
        <w:rPr>
          <w:rFonts w:ascii="Calibri" w:hAnsi="Calibri"/>
          <w:b w:val="0"/>
          <w:i/>
          <w:color w:val="555555"/>
          <w:sz w:val="21"/>
        </w:rPr>
        <w:t>GL Bajaj Institute of Technology and Management, IEEE style paper</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Built a full end to end machine learning pipeline comparing six classifiers on a clinical dataset of 768 patients, using 10 fold cross validation and per model confusion matrices.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Caught biologically impossible zero values that the original authors had overlooked, then applied IQR based outlier removal and proper imputation to restore data integrity.</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Chose ROC AUC over accuracy as the headline metric for a 65 to 35 imbalanced dataset, avoiding a misleadingly rosy accuracy figure that would have hidden real error patterns.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Wrote up findings as an IEEE style paper including an honest section on limitations and what to do differently in a follow up study.</w:t>
      </w:r>
    </w:p>
    <w:p>
      <w:pPr>
        <w:spacing w:before="40" w:after="120"/>
        <w:pBdr>
          <w:bottom w:val="single" w:sz="6" w:space="1" w:color="B64A2A"/>
        </w:pBdr>
      </w:pPr>
    </w:p>
    <w:p>
      <w:pPr>
        <w:spacing w:before="80" w:after="60"/>
      </w:pPr>
      <w:r>
        <w:rPr>
          <w:rFonts w:ascii="Calibri" w:hAnsi="Calibri"/>
          <w:b/>
          <w:i w:val="0"/>
          <w:color w:val="0B2E59"/>
          <w:sz w:val="25"/>
        </w:rPr>
        <w:t>CERTIFICATIONS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NVIDIA: Building LLM Applications With Prompt Engineering, issued November 2025.</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AWS Academy Graduate: AWS Academy Cloud Foundations, issued July 2025.</w:t>
      </w:r>
    </w:p>
    <w:p>
      <w:pPr>
        <w:spacing w:before="40" w:after="120"/>
        <w:pBdr>
          <w:bottom w:val="single" w:sz="6" w:space="1" w:color="B64A2A"/>
        </w:pBdr>
      </w:pPr>
    </w:p>
    <w:p>
      <w:pPr>
        <w:spacing w:before="80" w:after="60"/>
      </w:pPr>
      <w:r>
        <w:rPr>
          <w:rFonts w:ascii="Calibri" w:hAnsi="Calibri"/>
          <w:b/>
          <w:i w:val="0"/>
          <w:color w:val="0B2E59"/>
          <w:sz w:val="25"/>
        </w:rPr>
        <w:t>ACHIEVEMENTS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USAII Global AI Hackathon 2026: Finalist at Graduate Level, event 14 to 21 June 2026, awarded by the United States Artificial Intelligence Institute for innovation, technical creativity, and applied AI on real world challenges. Hackathon ID 830382652.</w:t>
      </w:r>
    </w:p>
    <w:p>
      <w:pPr>
        <w:spacing w:before="40" w:after="120"/>
        <w:pBdr>
          <w:bottom w:val="single" w:sz="6" w:space="1" w:color="B64A2A"/>
        </w:pBdr>
      </w:pPr>
    </w:p>
    <w:p>
      <w:pPr>
        <w:spacing w:before="80" w:after="60"/>
      </w:pPr>
      <w:r>
        <w:rPr>
          <w:rFonts w:ascii="Calibri" w:hAnsi="Calibri"/>
          <w:b/>
          <w:i w:val="0"/>
          <w:color w:val="0B2E59"/>
          <w:sz w:val="25"/>
        </w:rPr>
        <w:t>LANGUAGES</w:t>
      </w:r>
    </w:p>
    <w:p>
      <w:pPr>
        <w:spacing w:after="60" w:line="288" w:lineRule="auto"/>
        <w:jc w:val="both"/>
      </w:pPr>
      <w:r>
        <w:rPr>
          <w:rFonts w:ascii="Calibri" w:hAnsi="Calibri"/>
          <w:b w:val="0"/>
          <w:i w:val="0"/>
          <w:color w:val="1A1A1A"/>
          <w:sz w:val="21"/>
        </w:rPr>
        <w:t>English: fluent, professional working proficiency. German: B1, in progress.</w:t>
      </w:r>
    </w:p>
    <w:sectPr w:rsidR="00FC693F" w:rsidRPr="0006063C" w:rsidSect="00034616">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